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1FE12" w14:textId="77777777" w:rsidR="00A823A5" w:rsidRPr="00A823A5" w:rsidRDefault="00A823A5" w:rsidP="00A823A5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603D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</w:p>
    <w:p w14:paraId="4D9CEB07" w14:textId="77777777" w:rsidR="00A823A5" w:rsidRDefault="00A823A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F15A5D" w14:textId="55556A4B" w:rsidR="004D1343" w:rsidRPr="00740E61" w:rsidRDefault="00586FD1">
      <w:pPr>
        <w:jc w:val="center"/>
        <w:rPr>
          <w:rFonts w:ascii="Times New Roman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>Программ</w:t>
      </w:r>
      <w:r w:rsidR="00740E61" w:rsidRPr="00740E61">
        <w:rPr>
          <w:rFonts w:ascii="Times New Roman" w:hAnsi="Times New Roman"/>
          <w:b/>
          <w:bCs/>
          <w:sz w:val="28"/>
          <w:szCs w:val="28"/>
        </w:rPr>
        <w:t>а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</w:t>
      </w:r>
      <w:r w:rsidR="00503F89">
        <w:rPr>
          <w:rFonts w:ascii="Times New Roman" w:hAnsi="Times New Roman"/>
          <w:b/>
          <w:bCs/>
          <w:sz w:val="28"/>
          <w:szCs w:val="28"/>
        </w:rPr>
        <w:t>а) охраняемым законом ценностям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5FD" w:rsidRPr="00503F89">
        <w:rPr>
          <w:rFonts w:ascii="Times New Roman" w:hAnsi="Times New Roman"/>
          <w:b/>
          <w:bCs/>
          <w:sz w:val="28"/>
          <w:szCs w:val="28"/>
        </w:rPr>
        <w:t>при проведении Министерством социальной политики и труда Удмуртской Республики</w:t>
      </w:r>
      <w:r w:rsidR="001345FD" w:rsidRPr="001345F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регионального </w:t>
      </w:r>
      <w:r w:rsidR="001345FD" w:rsidRPr="00503F89">
        <w:rPr>
          <w:rFonts w:ascii="Times New Roman" w:hAnsi="Times New Roman"/>
          <w:b/>
          <w:bCs/>
          <w:sz w:val="28"/>
          <w:szCs w:val="28"/>
        </w:rPr>
        <w:t>государственного</w:t>
      </w:r>
      <w:r w:rsidR="001345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контроля (надзора) за приемом на работу инвалидов в пределах установленной квоты на </w:t>
      </w:r>
      <w:r w:rsidR="00674FAA">
        <w:rPr>
          <w:rFonts w:ascii="Times New Roman" w:hAnsi="Times New Roman"/>
          <w:b/>
          <w:bCs/>
          <w:sz w:val="28"/>
          <w:szCs w:val="28"/>
        </w:rPr>
        <w:t>2024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1246E10" w14:textId="77777777"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9F3235" w14:textId="77777777"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55DF4A" w14:textId="77777777" w:rsidR="004D1343" w:rsidRPr="00740E6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14:paraId="0C63F107" w14:textId="77777777" w:rsidR="004D1343" w:rsidRPr="00740E61" w:rsidRDefault="004D1343">
      <w:pPr>
        <w:widowControl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225688" w14:textId="77777777"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480"/>
      </w:tblGrid>
      <w:tr w:rsidR="004D1343" w:rsidRPr="00740E61" w14:paraId="1D837489" w14:textId="77777777">
        <w:tc>
          <w:tcPr>
            <w:tcW w:w="2376" w:type="dxa"/>
          </w:tcPr>
          <w:p w14:paraId="4D5E9A10" w14:textId="77777777"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0" w:type="dxa"/>
          </w:tcPr>
          <w:p w14:paraId="41493EFD" w14:textId="73DD870E"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345FD" w:rsidRPr="00503F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 проведении </w:t>
            </w:r>
            <w:r w:rsidR="001345FD" w:rsidRPr="00503F89">
              <w:rPr>
                <w:rFonts w:ascii="Times New Roman" w:hAnsi="Times New Roman"/>
                <w:bCs/>
                <w:sz w:val="28"/>
                <w:szCs w:val="28"/>
              </w:rPr>
              <w:t>Министерством социальной политики и труда Удмуртской Республики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регионального государственного контроля (надзора) за приемом на работу инвалидов в пределах установленной квоты на </w:t>
            </w:r>
            <w:r w:rsidR="00674F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(далее – программа профилактики)</w:t>
            </w:r>
          </w:p>
          <w:p w14:paraId="32024E52" w14:textId="77777777" w:rsidR="004D1343" w:rsidRPr="00740E61" w:rsidRDefault="004D1343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RPr="00740E61" w14:paraId="0EAA056C" w14:textId="77777777">
        <w:tc>
          <w:tcPr>
            <w:tcW w:w="2376" w:type="dxa"/>
          </w:tcPr>
          <w:p w14:paraId="571A6FF4" w14:textId="77777777"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480" w:type="dxa"/>
          </w:tcPr>
          <w:p w14:paraId="2C45C8B8" w14:textId="77777777" w:rsidR="004D1343" w:rsidRPr="00740E61" w:rsidRDefault="00586FD1">
            <w:pPr>
              <w:widowControl/>
              <w:shd w:val="clear" w:color="auto" w:fill="FFFFFF"/>
              <w:ind w:hanging="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31 июля 2020 года № 248-ФЗ «О 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0C3215F6" w14:textId="77777777"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Правительства Российской Федерации от 25 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14:paraId="78812D0B" w14:textId="77777777" w:rsidR="004D1343" w:rsidRPr="00740E61" w:rsidRDefault="004D1343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RPr="00740E61" w14:paraId="1832E436" w14:textId="77777777">
        <w:tc>
          <w:tcPr>
            <w:tcW w:w="2376" w:type="dxa"/>
          </w:tcPr>
          <w:p w14:paraId="2B9EAE9E" w14:textId="77777777"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80" w:type="dxa"/>
          </w:tcPr>
          <w:p w14:paraId="019DA796" w14:textId="77777777" w:rsidR="004D1343" w:rsidRPr="00740E61" w:rsidRDefault="00674FAA" w:rsidP="002B412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социальной политики и труда Удмуртской Республики</w:t>
            </w:r>
          </w:p>
        </w:tc>
      </w:tr>
      <w:tr w:rsidR="004D1343" w:rsidRPr="00740E61" w14:paraId="09E05A8C" w14:textId="77777777">
        <w:tc>
          <w:tcPr>
            <w:tcW w:w="2376" w:type="dxa"/>
          </w:tcPr>
          <w:p w14:paraId="7369A05D" w14:textId="14A4AF8A" w:rsidR="004D1343" w:rsidRPr="00740E61" w:rsidRDefault="00503F8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</w:p>
        </w:tc>
        <w:tc>
          <w:tcPr>
            <w:tcW w:w="7480" w:type="dxa"/>
          </w:tcPr>
          <w:p w14:paraId="363A16B2" w14:textId="0455FE95" w:rsidR="00F5651E" w:rsidRPr="00740E61" w:rsidRDefault="00F5651E" w:rsidP="00F5651E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эффективности осуществления контрольно-надзорной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D85731E" w14:textId="72144D4D"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добросовестного соблюдения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</w:t>
            </w:r>
            <w:r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нормативными правовыми актами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</w:t>
            </w:r>
            <w:r w:rsidR="00603D29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обязательные требования),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14:paraId="339E388A" w14:textId="0FE68580" w:rsidR="004D1343" w:rsidRPr="00740E61" w:rsidRDefault="00586FD1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57EBDCAD" w14:textId="199C432A" w:rsidR="004D1343" w:rsidRPr="00740E61" w:rsidRDefault="00586FD1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контролируемыми лицами установленной квоты для приема на работу инвалидов в полном объеме;</w:t>
            </w:r>
          </w:p>
          <w:p w14:paraId="0E7DAAD3" w14:textId="1AC9568F" w:rsidR="004D1343" w:rsidRPr="00740E61" w:rsidRDefault="00586FD1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административной нагрузки на работодателей;</w:t>
            </w:r>
          </w:p>
          <w:p w14:paraId="060F0931" w14:textId="390A7D8C" w:rsidR="004D1343" w:rsidRPr="00740E61" w:rsidRDefault="00586FD1" w:rsidP="00F5651E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напряженности на региональном рынке труда среди граждан, имеющих инвалидность</w:t>
            </w:r>
            <w:r w:rsidR="00740E6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</w:t>
            </w:r>
            <w:r w:rsidR="00740E61" w:rsidRPr="00AE3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граждан, имеющих инвалидность</w:t>
            </w:r>
          </w:p>
        </w:tc>
      </w:tr>
      <w:tr w:rsidR="004D1343" w:rsidRPr="00740E61" w14:paraId="7FD16EA2" w14:textId="77777777">
        <w:tc>
          <w:tcPr>
            <w:tcW w:w="2376" w:type="dxa"/>
          </w:tcPr>
          <w:p w14:paraId="7EFE53BE" w14:textId="47D72313" w:rsidR="004D1343" w:rsidRPr="00740E61" w:rsidRDefault="00503F8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Задачи </w:t>
            </w:r>
          </w:p>
        </w:tc>
        <w:tc>
          <w:tcPr>
            <w:tcW w:w="7480" w:type="dxa"/>
          </w:tcPr>
          <w:p w14:paraId="08A230EB" w14:textId="7E9B323D"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 повышение квалификации должностных лиц </w:t>
            </w:r>
            <w:r w:rsid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органов исполнительной власти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осуществляющих региональный государственный контроль (надзор) за приемом на работу инвалидов в пределах установленной квоты (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государственный контроль (надзор));</w:t>
            </w:r>
          </w:p>
          <w:p w14:paraId="513B6B08" w14:textId="22E34406"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14:paraId="6F85EC91" w14:textId="03B56962" w:rsidR="004D1343" w:rsidRPr="00740E61" w:rsidRDefault="00586FD1" w:rsidP="00F5651E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  <w:r w:rsidR="00E07CFA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1343" w:rsidRPr="00740E61" w14:paraId="05162975" w14:textId="77777777">
        <w:tc>
          <w:tcPr>
            <w:tcW w:w="2376" w:type="dxa"/>
          </w:tcPr>
          <w:p w14:paraId="208E35B7" w14:textId="1DF090DD" w:rsidR="004D1343" w:rsidRPr="00740E61" w:rsidRDefault="00503F8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7480" w:type="dxa"/>
          </w:tcPr>
          <w:p w14:paraId="0AAF6083" w14:textId="77777777" w:rsidR="004D1343" w:rsidRPr="00740E61" w:rsidRDefault="00674FAA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4D1343" w:rsidRPr="00740E61" w14:paraId="52DFFD81" w14:textId="77777777">
        <w:tc>
          <w:tcPr>
            <w:tcW w:w="2376" w:type="dxa"/>
          </w:tcPr>
          <w:p w14:paraId="3E4112E5" w14:textId="77777777"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480" w:type="dxa"/>
          </w:tcPr>
          <w:p w14:paraId="617EA72B" w14:textId="77777777" w:rsidR="004D1343" w:rsidRPr="00740E61" w:rsidRDefault="00674FAA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 Удмуртской Республики</w:t>
            </w:r>
          </w:p>
        </w:tc>
      </w:tr>
      <w:tr w:rsidR="004D1343" w:rsidRPr="00740E61" w14:paraId="7E3C530E" w14:textId="77777777">
        <w:tc>
          <w:tcPr>
            <w:tcW w:w="2376" w:type="dxa"/>
          </w:tcPr>
          <w:p w14:paraId="760D1261" w14:textId="53C3EA7C"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</w:t>
            </w:r>
            <w:r w:rsidR="00503F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результаты реализации </w:t>
            </w:r>
          </w:p>
        </w:tc>
        <w:tc>
          <w:tcPr>
            <w:tcW w:w="7480" w:type="dxa"/>
          </w:tcPr>
          <w:p w14:paraId="6E870F3E" w14:textId="619887DA" w:rsidR="004D1343" w:rsidRPr="00740E61" w:rsidRDefault="00586FD1">
            <w:pPr>
              <w:widowControl/>
              <w:shd w:val="clear" w:color="auto" w:fill="FFFFFF"/>
              <w:tabs>
                <w:tab w:val="left" w:pos="34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рисков причинения вреда охраняемым законом ценностям;</w:t>
            </w:r>
          </w:p>
          <w:p w14:paraId="4E60AF0A" w14:textId="33A09954"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доли законопослушных контролируемых лиц;</w:t>
            </w:r>
          </w:p>
          <w:p w14:paraId="6E27F3AA" w14:textId="770E9361" w:rsidR="004D1343" w:rsidRPr="00740E61" w:rsidRDefault="00586FD1">
            <w:pPr>
              <w:widowControl/>
              <w:shd w:val="clear" w:color="auto" w:fill="FFFFFF"/>
              <w:tabs>
                <w:tab w:val="left" w:pos="259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квалифицированной профилактической работы должностных 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лиц 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DBBA338" w14:textId="0538ECEC"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прозрачности профилактической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2714287" w14:textId="73E5D6CC" w:rsidR="004D1343" w:rsidRPr="00740E61" w:rsidRDefault="00586FD1">
            <w:pPr>
              <w:widowControl/>
              <w:shd w:val="clear" w:color="auto" w:fill="FFFFFF"/>
              <w:tabs>
                <w:tab w:val="left" w:pos="266"/>
              </w:tabs>
              <w:ind w:firstLine="2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административной нагрузки на контролируемых лиц;</w:t>
            </w:r>
          </w:p>
          <w:p w14:paraId="7E12352B" w14:textId="536E51BC" w:rsidR="004D1343" w:rsidRPr="00740E61" w:rsidRDefault="00586FD1">
            <w:pPr>
              <w:widowControl/>
              <w:shd w:val="clear" w:color="auto" w:fill="FFFFFF"/>
              <w:tabs>
                <w:tab w:val="left" w:pos="360"/>
              </w:tabs>
              <w:ind w:firstLine="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правовой грамотности контролируемых лиц;</w:t>
            </w:r>
          </w:p>
          <w:p w14:paraId="1B8EA3D7" w14:textId="4A427C6D" w:rsidR="004D1343" w:rsidRPr="00740E61" w:rsidRDefault="00FE0752">
            <w:pPr>
              <w:widowControl/>
              <w:shd w:val="clear" w:color="auto" w:fill="FFFFFF"/>
              <w:tabs>
                <w:tab w:val="left" w:pos="360"/>
              </w:tabs>
              <w:ind w:firstLine="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контролируемыми лицами;</w:t>
            </w:r>
          </w:p>
          <w:p w14:paraId="4A303444" w14:textId="73AC4759" w:rsidR="004D1343" w:rsidRPr="00740E61" w:rsidRDefault="00586FD1">
            <w:pPr>
              <w:widowControl/>
              <w:shd w:val="clear" w:color="auto" w:fill="FFFFFF"/>
              <w:tabs>
                <w:tab w:val="left" w:pos="259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контролируемых лиц к добросовестному поведению;</w:t>
            </w:r>
          </w:p>
          <w:p w14:paraId="3651E148" w14:textId="1E07827F" w:rsidR="004D1343" w:rsidRPr="00740E61" w:rsidRDefault="004D1343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14:paraId="7901D9B5" w14:textId="77777777">
        <w:tc>
          <w:tcPr>
            <w:tcW w:w="2376" w:type="dxa"/>
          </w:tcPr>
          <w:p w14:paraId="6B4B405C" w14:textId="4B03FA69" w:rsidR="004D1343" w:rsidRPr="00AB20F1" w:rsidRDefault="00503F8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</w:p>
        </w:tc>
        <w:tc>
          <w:tcPr>
            <w:tcW w:w="7480" w:type="dxa"/>
          </w:tcPr>
          <w:p w14:paraId="40F1086D" w14:textId="77777777" w:rsidR="004D1343" w:rsidRPr="00AB20F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1. Анализ текущего состояния осуществления регионального государственного контроля (надзора) за 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приемом на работу инвалидов в пределах установленной квоты</w:t>
            </w:r>
          </w:p>
          <w:p w14:paraId="79DD12F0" w14:textId="77777777" w:rsidR="002B4129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Описание текущего развития профилактической деятельности </w:t>
            </w:r>
            <w:r w:rsidR="002B4129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12C7D1F" w14:textId="77777777" w:rsidR="004D1343" w:rsidRPr="00AB20F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Характеристика проблем, на решение которых направлена программа профилактики</w:t>
            </w:r>
          </w:p>
          <w:p w14:paraId="12C8D286" w14:textId="77777777"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Цели и задачи реализации программы профилактики</w:t>
            </w:r>
          </w:p>
          <w:p w14:paraId="3D41245D" w14:textId="77777777"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</w:t>
            </w:r>
          </w:p>
          <w:p w14:paraId="071CDAC8" w14:textId="77777777" w:rsidR="004D1343" w:rsidRPr="00AB20F1" w:rsidRDefault="00586FD1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4. Показатели результативности и эффективности программы профилактики</w:t>
            </w:r>
          </w:p>
        </w:tc>
      </w:tr>
    </w:tbl>
    <w:p w14:paraId="5709F7A7" w14:textId="77777777" w:rsidR="004D1343" w:rsidRDefault="004D1343">
      <w:pPr>
        <w:jc w:val="center"/>
        <w:rPr>
          <w:rFonts w:cs="Arial"/>
          <w:b/>
          <w:sz w:val="24"/>
        </w:rPr>
      </w:pPr>
    </w:p>
    <w:p w14:paraId="346EA819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433862D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7AF1D94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340E7734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29FFE7D3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596D4CA3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5121F1E4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E498827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05F90F39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3EC9A306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587FE230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3D153071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70F03331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49E8DE54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05A61C5A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509A6862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4EA36093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6CBCD399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230E7983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7D5863D6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42FB135C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35228BC3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09587B6E" w14:textId="77777777"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2283D84B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370D8AF7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D98F7C8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066632A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42F6FBE1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829B45E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12F93485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7D6098E5" w14:textId="77777777" w:rsidR="002B4129" w:rsidRDefault="002B4129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7DD68D70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2AFCF275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44EE3437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0156074A" w14:textId="77777777"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14:paraId="5C62452C" w14:textId="77777777"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регионального государственного контроля (надзора) </w:t>
      </w:r>
    </w:p>
    <w:p w14:paraId="41049808" w14:textId="77777777"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приемом на работу инвалидов в пределах установленной квоты </w:t>
      </w:r>
    </w:p>
    <w:p w14:paraId="68493130" w14:textId="77777777" w:rsid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F0E6D0" w14:textId="77777777" w:rsidR="004D1343" w:rsidRP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</w:t>
      </w:r>
      <w:r w:rsidR="00E67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7278" w:rsidRPr="00503F8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 w:rsidRPr="0050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(надзора) за приемом на работу инвалидов в пределах установленной квоты</w:t>
      </w:r>
      <w:r w:rsidR="00E67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осуществляемого </w:t>
      </w:r>
      <w:r w:rsidR="00674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 социальной политики и труда Удмуртской Республики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Министерство)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6D39460" w14:textId="77777777" w:rsidR="009D228F" w:rsidRDefault="009D228F" w:rsidP="00AB20F1">
      <w:pPr>
        <w:widowControl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F00668" w14:textId="21217157" w:rsidR="009D228F" w:rsidRPr="00503F89" w:rsidRDefault="00586FD1" w:rsidP="00503F89">
      <w:pPr>
        <w:pStyle w:val="a3"/>
        <w:widowControl/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3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Описание текущего развития профилактической деятельности </w:t>
      </w:r>
      <w:r w:rsidR="002B4129" w:rsidRPr="00503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503F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14:paraId="5952A145" w14:textId="77777777" w:rsidR="00503F89" w:rsidRPr="00503F89" w:rsidRDefault="00503F89" w:rsidP="00503F89">
      <w:pPr>
        <w:pStyle w:val="a3"/>
        <w:autoSpaceDE w:val="0"/>
        <w:autoSpaceDN w:val="0"/>
        <w:adjustRightInd w:val="0"/>
        <w:ind w:left="0" w:firstLine="765"/>
        <w:jc w:val="both"/>
        <w:rPr>
          <w:rFonts w:ascii="Times New Roman" w:eastAsiaTheme="minorHAnsi" w:hAnsi="Times New Roman"/>
          <w:sz w:val="28"/>
          <w:szCs w:val="28"/>
        </w:rPr>
      </w:pPr>
      <w:r w:rsidRPr="00503F89">
        <w:rPr>
          <w:rFonts w:ascii="Times New Roman" w:eastAsiaTheme="minorHAnsi" w:hAnsi="Times New Roman"/>
          <w:sz w:val="28"/>
          <w:szCs w:val="28"/>
        </w:rPr>
        <w:t xml:space="preserve">Обязательными требованиями являются требования, установленные </w:t>
      </w:r>
      <w:r w:rsidRPr="00503F89">
        <w:rPr>
          <w:rFonts w:ascii="Times New Roman" w:hAnsi="Times New Roman"/>
          <w:noProof/>
          <w:sz w:val="28"/>
          <w:szCs w:val="28"/>
        </w:rPr>
        <w:t xml:space="preserve">Законом Российской Федерации </w:t>
      </w:r>
      <w:r w:rsidRPr="00503F89">
        <w:rPr>
          <w:rFonts w:ascii="Times New Roman" w:eastAsiaTheme="minorHAnsi" w:hAnsi="Times New Roman"/>
          <w:sz w:val="28"/>
          <w:szCs w:val="28"/>
        </w:rPr>
        <w:t>от 19 апреля 1991 года № 1032-1</w:t>
      </w:r>
      <w:r w:rsidRPr="00503F89">
        <w:rPr>
          <w:rFonts w:ascii="Times New Roman" w:hAnsi="Times New Roman"/>
          <w:noProof/>
          <w:sz w:val="28"/>
          <w:szCs w:val="28"/>
        </w:rPr>
        <w:t xml:space="preserve"> «О занятости населения в Российской Федерации», </w:t>
      </w:r>
      <w:r w:rsidRPr="00503F89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8" w:history="1">
        <w:r w:rsidRPr="00503F8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03F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 xml:space="preserve">№ 181-ФЗ </w:t>
      </w:r>
      <w:r w:rsidRPr="00503F89">
        <w:rPr>
          <w:rFonts w:ascii="Times New Roman" w:eastAsiaTheme="minorHAnsi" w:hAnsi="Times New Roman"/>
          <w:sz w:val="28"/>
          <w:szCs w:val="28"/>
        </w:rPr>
        <w:t>«О социальной защите инвалидов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содействия занятости населения, по приему на работу инвалидов в пределах установленной квоты.</w:t>
      </w:r>
    </w:p>
    <w:p w14:paraId="1205CB51" w14:textId="0E0712B3" w:rsidR="009D228F" w:rsidRDefault="0095269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B5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огласно </w:t>
      </w:r>
      <w:r w:rsidR="006B50FF">
        <w:rPr>
          <w:rFonts w:ascii="Times New Roman" w:hAnsi="Times New Roman"/>
          <w:sz w:val="28"/>
          <w:szCs w:val="28"/>
        </w:rPr>
        <w:t>постановлению</w:t>
      </w:r>
      <w:r w:rsidR="006B50FF" w:rsidRPr="001D10CD">
        <w:rPr>
          <w:rFonts w:ascii="Times New Roman" w:hAnsi="Times New Roman"/>
          <w:sz w:val="28"/>
          <w:szCs w:val="28"/>
        </w:rPr>
        <w:t xml:space="preserve"> Правительства Удмуртской Республики </w:t>
      </w:r>
      <w:r w:rsidR="006B50FF" w:rsidRPr="001D10CD">
        <w:rPr>
          <w:rFonts w:ascii="Times New Roman" w:hAnsi="Times New Roman"/>
          <w:sz w:val="28"/>
          <w:szCs w:val="28"/>
        </w:rPr>
        <w:br/>
        <w:t>от 28 ноября 2016 года № 500 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</w:t>
      </w:r>
      <w:r w:rsidR="007177F1">
        <w:rPr>
          <w:rFonts w:ascii="Times New Roman" w:hAnsi="Times New Roman"/>
          <w:sz w:val="28"/>
          <w:szCs w:val="28"/>
        </w:rPr>
        <w:t xml:space="preserve"> к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вота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установлена</w:t>
      </w:r>
      <w:r w:rsidR="006B5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355ABEF" w14:textId="36BEEA49" w:rsidR="006B50FF" w:rsidRDefault="007177F1" w:rsidP="009D228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работодателям, </w:t>
      </w:r>
      <w:r w:rsidR="006B50FF" w:rsidRPr="006B50FF">
        <w:rPr>
          <w:rFonts w:ascii="Times New Roman" w:hAnsi="Times New Roman"/>
          <w:sz w:val="28"/>
          <w:szCs w:val="28"/>
        </w:rPr>
        <w:t>численность работников которых составляет от 35 до 100 человек включительно, уст</w:t>
      </w:r>
      <w:r w:rsidR="006B50FF">
        <w:rPr>
          <w:rFonts w:ascii="Times New Roman" w:hAnsi="Times New Roman"/>
          <w:sz w:val="28"/>
          <w:szCs w:val="28"/>
        </w:rPr>
        <w:t>анавливается квота в размере 2</w:t>
      </w:r>
      <w:r w:rsidR="006B50FF" w:rsidRPr="006B50FF">
        <w:rPr>
          <w:rFonts w:ascii="Times New Roman" w:hAnsi="Times New Roman"/>
          <w:sz w:val="28"/>
          <w:szCs w:val="28"/>
        </w:rPr>
        <w:t xml:space="preserve"> процента от среднесписочной численности работников</w:t>
      </w:r>
      <w:r w:rsidR="006B50FF">
        <w:rPr>
          <w:rFonts w:ascii="Times New Roman" w:hAnsi="Times New Roman"/>
          <w:sz w:val="28"/>
          <w:szCs w:val="28"/>
        </w:rPr>
        <w:t>;</w:t>
      </w:r>
    </w:p>
    <w:p w14:paraId="08B1AA92" w14:textId="72251F3B" w:rsidR="006B50FF" w:rsidRPr="006B50FF" w:rsidRDefault="007177F1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работодателям, </w:t>
      </w:r>
      <w:r w:rsidR="006B50FF" w:rsidRPr="006B50FF">
        <w:rPr>
          <w:rFonts w:ascii="Times New Roman" w:hAnsi="Times New Roman"/>
          <w:sz w:val="28"/>
          <w:szCs w:val="28"/>
        </w:rPr>
        <w:t>численность работников которых превышает 100 человек, уст</w:t>
      </w:r>
      <w:r w:rsidR="006B50FF">
        <w:rPr>
          <w:rFonts w:ascii="Times New Roman" w:hAnsi="Times New Roman"/>
          <w:sz w:val="28"/>
          <w:szCs w:val="28"/>
        </w:rPr>
        <w:t>анавливается квота в размере 3</w:t>
      </w:r>
      <w:r w:rsidR="006B50FF" w:rsidRPr="006B50FF">
        <w:rPr>
          <w:rFonts w:ascii="Times New Roman" w:hAnsi="Times New Roman"/>
          <w:sz w:val="28"/>
          <w:szCs w:val="28"/>
        </w:rPr>
        <w:t xml:space="preserve"> процента от среднесписочной численности работников</w:t>
      </w:r>
      <w:r w:rsidR="006B50FF">
        <w:rPr>
          <w:rFonts w:ascii="Times New Roman" w:hAnsi="Times New Roman"/>
          <w:sz w:val="28"/>
          <w:szCs w:val="28"/>
        </w:rPr>
        <w:t>.</w:t>
      </w:r>
    </w:p>
    <w:p w14:paraId="22E9661A" w14:textId="77777777" w:rsid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абзацу 3 части 3 статьи 25 Закона </w:t>
      </w:r>
      <w:r w:rsidR="006B5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занятости населения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14:paraId="6C407F2A" w14:textId="42218BDC" w:rsidR="007177F1" w:rsidRPr="00503F89" w:rsidRDefault="007177F1" w:rsidP="007177F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503F89">
        <w:rPr>
          <w:rFonts w:ascii="Times New Roman" w:hAnsi="Times New Roman"/>
          <w:sz w:val="28"/>
          <w:szCs w:val="28"/>
        </w:rPr>
        <w:t>соблюдение которых оценивается при проведении мероприятий контроля (надзора) за приемом на работу инвалидов, у</w:t>
      </w: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>твержден приказом Министерства</w:t>
      </w:r>
      <w:r w:rsidR="006751F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751F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>от 30 сентября 2022 года № 179.</w:t>
      </w:r>
    </w:p>
    <w:p w14:paraId="3D9AF7C6" w14:textId="77777777" w:rsidR="009D228F" w:rsidRP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14:paraId="1DFEC3A4" w14:textId="53C0CBAC" w:rsidR="00056BEB" w:rsidRDefault="002245B3" w:rsidP="002245B3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Согласно Реестра категорированных объектов Единого реестра видов контроля к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оличество работодателей Удмуртской Республики</w:t>
      </w:r>
      <w:r w:rsidR="0095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распространяется 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квотировании рабочих мест для приема на работу инвалидов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1843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по категориям риска:</w:t>
      </w:r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A42B77" w14:textId="56F57A87" w:rsidR="005710CD" w:rsidRDefault="00B807A3" w:rsidP="00EA687F">
      <w:pPr>
        <w:widowControl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значительный 11</w:t>
      </w:r>
    </w:p>
    <w:p w14:paraId="2224599C" w14:textId="67A07645" w:rsidR="005710CD" w:rsidRDefault="00B807A3" w:rsidP="00EA687F">
      <w:pPr>
        <w:widowControl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436</w:t>
      </w:r>
    </w:p>
    <w:p w14:paraId="678E864B" w14:textId="4631F9C6" w:rsidR="005710CD" w:rsidRDefault="00B807A3" w:rsidP="00EA687F">
      <w:pPr>
        <w:widowControl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умеренный 0</w:t>
      </w:r>
    </w:p>
    <w:p w14:paraId="61C2D62B" w14:textId="143254CF" w:rsidR="005710CD" w:rsidRDefault="00B807A3" w:rsidP="00EA687F">
      <w:pPr>
        <w:widowControl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1396</w:t>
      </w:r>
      <w:r w:rsidR="00224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A9F112E" w14:textId="77777777" w:rsidR="009D228F" w:rsidRPr="005E1958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значимыми рисками для охраняемых законом ценностей являются:</w:t>
      </w:r>
    </w:p>
    <w:p w14:paraId="1362D839" w14:textId="13747574" w:rsidR="009D228F" w:rsidRPr="005E1958" w:rsidRDefault="009D228F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работодателем обязанности по созданию (выделению) рабочих мест для трудоустройства инвалидов в соответствии с установленной квотой для приема на работу инвалидов;</w:t>
      </w:r>
    </w:p>
    <w:p w14:paraId="520DB343" w14:textId="2220F872" w:rsidR="009D228F" w:rsidRPr="005E1958" w:rsidRDefault="009D228F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приеме на работу инвалида в пределах установленной квоты;</w:t>
      </w:r>
    </w:p>
    <w:p w14:paraId="72A2DFC9" w14:textId="66FB3805" w:rsidR="009D228F" w:rsidRPr="005E1958" w:rsidRDefault="00B807A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непредставление или 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несвоевременное представление информации о выполнении квоты для приема на работу инвалидов, предусмотренной законом, а также представление такой информации в неполном объеме и (или) в искаженном виде, что является нарушением части 3 статьи 25 Закона о занятости населения и влечет административную ответственность, предусмотренную статьей 19.7 КоАП РФ;</w:t>
      </w:r>
    </w:p>
    <w:p w14:paraId="6D70290A" w14:textId="77853982" w:rsidR="00D91DB9" w:rsidRPr="00B26ADF" w:rsidRDefault="00B26ADF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224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оформление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</w:t>
      </w:r>
      <w:r w:rsidRPr="0060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2E34AC4" w14:textId="77777777" w:rsidR="00D01CA5" w:rsidRDefault="00D01CA5" w:rsidP="00AB20F1">
      <w:pPr>
        <w:widowControl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4B7E47E" w14:textId="77777777" w:rsidR="004D1343" w:rsidRPr="002245B3" w:rsidRDefault="00586FD1" w:rsidP="00AB20F1">
      <w:pPr>
        <w:widowControl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45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 Характеристика проблем, на решение которых направлена программа профилактики</w:t>
      </w:r>
    </w:p>
    <w:p w14:paraId="2250DE1D" w14:textId="132021CD" w:rsidR="00E676DB" w:rsidRPr="00E676DB" w:rsidRDefault="00AD5E03" w:rsidP="00BF747E">
      <w:pPr>
        <w:widowControl/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="00E676DB" w:rsidRPr="00E676DB">
        <w:rPr>
          <w:rFonts w:ascii="Times New Roman" w:hAnsi="Times New Roman"/>
          <w:sz w:val="28"/>
          <w:szCs w:val="28"/>
        </w:rPr>
        <w:t xml:space="preserve">Особенности организации и осуществления государственного контроля (надзора), муниципального контроля </w:t>
      </w:r>
      <w:r w:rsidR="00E676DB">
        <w:rPr>
          <w:rFonts w:ascii="Times New Roman" w:hAnsi="Times New Roman"/>
          <w:sz w:val="28"/>
          <w:szCs w:val="28"/>
        </w:rPr>
        <w:t>в 2023 году и на планируемый</w:t>
      </w:r>
      <w:r w:rsidR="00E676DB" w:rsidRPr="00E676DB">
        <w:rPr>
          <w:rFonts w:ascii="Times New Roman" w:hAnsi="Times New Roman"/>
          <w:sz w:val="28"/>
          <w:szCs w:val="28"/>
        </w:rPr>
        <w:t xml:space="preserve"> 2024 год установлены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14:paraId="1365BF80" w14:textId="77777777" w:rsidR="00E676DB" w:rsidRDefault="00E676DB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676DB">
        <w:rPr>
          <w:rFonts w:ascii="Times New Roman" w:hAnsi="Times New Roman"/>
          <w:sz w:val="28"/>
          <w:szCs w:val="28"/>
        </w:rPr>
        <w:t>В соответствии с пунктом 11(3) Постановления № 336 в планы проведения плановых контрольных надзорных мероприятий до 2030 года включаются контрольные (надзорным) мероприятия, плановые проверки только в отношении объектов контроля, отнесенных к категориям чрезвычайно высокого и высокого риска.</w:t>
      </w:r>
    </w:p>
    <w:p w14:paraId="4170577C" w14:textId="77777777" w:rsidR="00E676DB" w:rsidRPr="00E676DB" w:rsidRDefault="00E676DB" w:rsidP="00E676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E676DB">
        <w:rPr>
          <w:rFonts w:ascii="Times New Roman" w:hAnsi="Times New Roman"/>
          <w:sz w:val="28"/>
          <w:szCs w:val="28"/>
        </w:rPr>
        <w:t>Положением о региональном</w:t>
      </w:r>
      <w:r w:rsidRPr="00E676D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E676DB">
        <w:rPr>
          <w:rFonts w:ascii="Times New Roman" w:eastAsia="Calibri" w:hAnsi="Times New Roman"/>
          <w:bCs/>
          <w:sz w:val="28"/>
          <w:szCs w:val="28"/>
        </w:rPr>
        <w:t>государственном контроле (надзоре) за приемом на работу инвалидов в пределах установленной квоты, утвержденным постановлением Правительства Удмуртской Республики от 29.09.2021 № 527, не предусмотрены чрезвычайно высокая и высокая категории риска причинения вреда (ущерба) охраняемым законом ценностям.</w:t>
      </w:r>
    </w:p>
    <w:p w14:paraId="0DD8FC8D" w14:textId="77777777" w:rsidR="00E676DB" w:rsidRDefault="00350992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связи с отсутствием объектов контроля необходимой категории риска в 2024 году плановые контрольные (надзорные) мероприятия проводиться не будут.</w:t>
      </w:r>
    </w:p>
    <w:p w14:paraId="585D7228" w14:textId="77777777" w:rsidR="00350992" w:rsidRDefault="00350992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профилактических мероприятий по состоянию 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1 октября 2023 года Министерством:</w:t>
      </w:r>
    </w:p>
    <w:p w14:paraId="13F14692" w14:textId="77777777" w:rsidR="00350992" w:rsidRDefault="00350992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119 предостережений о недопустимости нарушения обязательных требований;</w:t>
      </w:r>
    </w:p>
    <w:p w14:paraId="2A2D00F1" w14:textId="77777777" w:rsidR="00350992" w:rsidRDefault="00350992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проведение 24 профилактических визитов;</w:t>
      </w:r>
    </w:p>
    <w:p w14:paraId="1B89F658" w14:textId="77777777" w:rsidR="00350992" w:rsidRDefault="00350992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 xml:space="preserve">на постоянной основе осуществлялась актуализация </w:t>
      </w:r>
      <w:r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</w:t>
      </w:r>
      <w:r w:rsidRPr="000342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содержащих обязательные требования, а также текстов, соответствующих нормативных правовых актов,</w:t>
      </w:r>
      <w:r w:rsidRPr="00034270"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</w:t>
      </w:r>
      <w:r w:rsidRPr="00034270">
        <w:rPr>
          <w:rFonts w:ascii="Times New Roman" w:hAnsi="Times New Roman"/>
          <w:sz w:val="28"/>
          <w:szCs w:val="28"/>
        </w:rPr>
        <w:t xml:space="preserve">нных на официальном сайте Министерства в </w:t>
      </w:r>
      <w:r w:rsidR="00D021DB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34270">
        <w:rPr>
          <w:rFonts w:ascii="Times New Roman" w:hAnsi="Times New Roman"/>
          <w:sz w:val="28"/>
          <w:szCs w:val="28"/>
        </w:rPr>
        <w:t>сети «Интернет»</w:t>
      </w:r>
      <w:r w:rsidR="00D021DB">
        <w:rPr>
          <w:rFonts w:ascii="Times New Roman" w:hAnsi="Times New Roman"/>
          <w:sz w:val="28"/>
          <w:szCs w:val="28"/>
        </w:rPr>
        <w:t xml:space="preserve"> (далее – официальный сайт Министерства в сети «Интернет»)</w:t>
      </w:r>
      <w:r>
        <w:rPr>
          <w:rFonts w:ascii="Times New Roman" w:hAnsi="Times New Roman"/>
          <w:sz w:val="28"/>
          <w:szCs w:val="28"/>
        </w:rPr>
        <w:t>;</w:t>
      </w:r>
    </w:p>
    <w:p w14:paraId="16BC4AD0" w14:textId="77777777" w:rsidR="00350992" w:rsidRDefault="00350992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и размещен </w:t>
      </w:r>
      <w:r w:rsidRPr="00034270">
        <w:rPr>
          <w:rFonts w:ascii="Times New Roman" w:hAnsi="Times New Roman"/>
          <w:sz w:val="28"/>
          <w:szCs w:val="28"/>
        </w:rPr>
        <w:t>на официальном сайте Министерства в сети «Интернет»</w:t>
      </w:r>
      <w:r>
        <w:rPr>
          <w:rFonts w:ascii="Times New Roman" w:hAnsi="Times New Roman"/>
          <w:sz w:val="28"/>
          <w:szCs w:val="28"/>
        </w:rPr>
        <w:t xml:space="preserve"> доклад о правоприменительной практике;</w:t>
      </w:r>
    </w:p>
    <w:p w14:paraId="508ED3EB" w14:textId="51A71EDB" w:rsidR="00350992" w:rsidRDefault="00D021DB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проводилось информирование контролируемых лиц по вопросам соблюдения обязательных требований, в том числе посредством: консультирования по телефону, консультирования при личном обращении контрол</w:t>
      </w:r>
      <w:r w:rsidR="005D5D61">
        <w:rPr>
          <w:rFonts w:ascii="Times New Roman" w:hAnsi="Times New Roman"/>
          <w:sz w:val="28"/>
          <w:szCs w:val="28"/>
        </w:rPr>
        <w:t>ируемых лиц;</w:t>
      </w:r>
    </w:p>
    <w:p w14:paraId="01CE7134" w14:textId="730A9DC7" w:rsidR="00787BA7" w:rsidRPr="00787BA7" w:rsidRDefault="00787BA7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BA7">
        <w:rPr>
          <w:rFonts w:ascii="Times New Roman" w:eastAsia="Calibri" w:hAnsi="Times New Roman"/>
          <w:sz w:val="28"/>
          <w:szCs w:val="28"/>
        </w:rPr>
        <w:t>участие в тематических заседаниях «Клуба работодателей», организуемых орга</w:t>
      </w:r>
      <w:r>
        <w:rPr>
          <w:rFonts w:ascii="Times New Roman" w:eastAsia="Calibri" w:hAnsi="Times New Roman"/>
          <w:sz w:val="28"/>
          <w:szCs w:val="28"/>
        </w:rPr>
        <w:t xml:space="preserve">нами службы занятости населения, </w:t>
      </w:r>
      <w:r>
        <w:rPr>
          <w:rFonts w:ascii="Times New Roman" w:hAnsi="Times New Roman"/>
          <w:sz w:val="28"/>
          <w:szCs w:val="28"/>
        </w:rPr>
        <w:t>на которых разъяснялись обязательные требования в области квотирования рабочих мест для трудоустройства инвалидов.</w:t>
      </w:r>
    </w:p>
    <w:p w14:paraId="792BDD5D" w14:textId="77777777" w:rsidR="000D2DE5" w:rsidRDefault="000D2DE5" w:rsidP="000D2DE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Основными проблемами трудоустройства инвалидов являются:</w:t>
      </w:r>
    </w:p>
    <w:p w14:paraId="6002C020" w14:textId="77777777" w:rsidR="000D2DE5" w:rsidRDefault="000D2DE5" w:rsidP="000D2DE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 w:rsidRPr="000D2DE5">
        <w:rPr>
          <w:rFonts w:ascii="Times New Roman" w:hAnsi="Times New Roman"/>
          <w:color w:val="000000"/>
          <w:sz w:val="28"/>
          <w:szCs w:val="28"/>
          <w:lang w:bidi="ru-RU"/>
        </w:rPr>
        <w:t>езаинтересованность работодателей в предоставлении рабочего места инвалиду, так как это влечет дополнительные издержки для работодателя. Это серьезное препятствие в решении исследуемой проблемы, так как создание особых условий труда не компенсируется льготами налогообложения и потому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экономически невыгодно бизнесу;</w:t>
      </w:r>
    </w:p>
    <w:p w14:paraId="0DAD992D" w14:textId="39F3EC22" w:rsidR="005D5D61" w:rsidRPr="000D2DE5" w:rsidRDefault="000D2DE5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ответственности работодателей за невыполнение квоты.</w:t>
      </w:r>
    </w:p>
    <w:p w14:paraId="1264CDB8" w14:textId="77777777" w:rsidR="00D021DB" w:rsidRDefault="00D021DB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23C3E5" w14:textId="77777777"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14:paraId="4ABDDFAF" w14:textId="69B65ECC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14:paraId="713B294B" w14:textId="145FB4DE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05AC1198" w14:textId="69ADC583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2BA4B3" w14:textId="092C5D38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14:paraId="665A2E82" w14:textId="1CA301F6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административной нагрузки на работодателей;</w:t>
      </w:r>
    </w:p>
    <w:p w14:paraId="2CB71602" w14:textId="7E2F8D4D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6D409F8" w14:textId="09ED5D0B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осуществления контрольно-надзорной деятельности.</w:t>
      </w:r>
    </w:p>
    <w:p w14:paraId="0F8F2E43" w14:textId="51AE7294" w:rsidR="00A05F93" w:rsidRPr="00A05F93" w:rsidRDefault="00A05F93" w:rsidP="00FA1E60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FA1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747E" w:rsidRPr="00BF7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14:paraId="02EE788A" w14:textId="2C6E71D5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14:paraId="11930274" w14:textId="3F6A4F68" w:rsid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повышение квалификации должностных, осуществляющих государственный контроль (надзор);</w:t>
      </w:r>
    </w:p>
    <w:p w14:paraId="4FD1D816" w14:textId="0D5C9F1C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14:paraId="405B9A76" w14:textId="592C127B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14:paraId="15416BE0" w14:textId="77777777" w:rsidR="00A05F93" w:rsidRDefault="00A05F93" w:rsidP="00FA1E60">
      <w:pPr>
        <w:widowControl/>
        <w:shd w:val="clear" w:color="auto" w:fill="FFFFFF"/>
        <w:jc w:val="both"/>
        <w:rPr>
          <w:rFonts w:eastAsia="Times New Roman" w:cs="Arial"/>
          <w:color w:val="000000"/>
          <w:sz w:val="24"/>
          <w:highlight w:val="yellow"/>
          <w:lang w:eastAsia="ru-RU"/>
        </w:rPr>
      </w:pPr>
    </w:p>
    <w:p w14:paraId="09D41D09" w14:textId="77777777" w:rsidR="00142E08" w:rsidRDefault="00142E08" w:rsidP="00142E0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96A9FA3" w14:textId="77777777" w:rsidR="00BB54F9" w:rsidRDefault="00BB54F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7B00FC" w14:textId="77777777" w:rsidR="005E1958" w:rsidRDefault="005E19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BE1BC68" w14:textId="77777777" w:rsidR="00A823A5" w:rsidRDefault="00A823A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05BB2B" w14:textId="77777777" w:rsidR="004D1343" w:rsidRPr="00AB20F1" w:rsidRDefault="004D134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3CEA5536" w14:textId="77777777" w:rsidR="004D1343" w:rsidRPr="00AB20F1" w:rsidRDefault="00586FD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.</w:t>
      </w:r>
    </w:p>
    <w:p w14:paraId="04D3C460" w14:textId="77777777" w:rsidR="004D1343" w:rsidRPr="00AB20F1" w:rsidRDefault="004D134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213C7D" w14:textId="77777777" w:rsidR="00FE0752" w:rsidRPr="00FE0752" w:rsidRDefault="00FE0752" w:rsidP="00AE4C01">
      <w:pPr>
        <w:widowControl/>
        <w:shd w:val="clear" w:color="auto" w:fill="FFFFFF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sectPr w:rsidR="00FE0752" w:rsidRPr="00FE0752">
          <w:headerReference w:type="default" r:id="rId9"/>
          <w:headerReference w:type="first" r:id="rId10"/>
          <w:pgSz w:w="11905" w:h="16837"/>
          <w:pgMar w:top="1134" w:right="567" w:bottom="1134" w:left="1418" w:header="1134" w:footer="720" w:gutter="0"/>
          <w:cols w:space="720"/>
          <w:titlePg/>
          <w:docGrid w:linePitch="360"/>
        </w:sectPr>
      </w:pPr>
    </w:p>
    <w:p w14:paraId="551A684B" w14:textId="77777777" w:rsidR="00AE4C01" w:rsidRDefault="00142E08" w:rsidP="00AE4C01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eastAsia="ru-RU"/>
        </w:rPr>
      </w:pPr>
      <w:r>
        <w:rPr>
          <w:rFonts w:ascii="Calibri" w:eastAsia="Times New Roman" w:hAnsi="Calibri" w:cs="Calibri"/>
          <w:sz w:val="22"/>
          <w:szCs w:val="22"/>
          <w:lang w:eastAsia="ru-RU"/>
        </w:rPr>
        <w:lastRenderedPageBreak/>
        <w:t xml:space="preserve">  </w:t>
      </w:r>
    </w:p>
    <w:p w14:paraId="711FD9C3" w14:textId="77777777" w:rsidR="00AE4C01" w:rsidRDefault="00AE4C01" w:rsidP="00A05F93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сроки (периодичность) их проведения</w:t>
      </w:r>
    </w:p>
    <w:p w14:paraId="6DF209D8" w14:textId="77777777" w:rsidR="00AE4C01" w:rsidRDefault="00AE4C01" w:rsidP="00AE4C0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36"/>
        <w:gridCol w:w="6379"/>
        <w:gridCol w:w="2551"/>
        <w:gridCol w:w="2126"/>
      </w:tblGrid>
      <w:tr w:rsidR="002B4129" w:rsidRPr="00AB20F1" w14:paraId="77A62309" w14:textId="77777777" w:rsidTr="00A05F93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14:paraId="797094FB" w14:textId="77777777" w:rsidR="002B4129" w:rsidRPr="00AB20F1" w:rsidRDefault="00142E08" w:rsidP="00AE4C01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2B4129"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14:paraId="6F106894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8D84B" w14:textId="77777777" w:rsidR="002B4129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EB00E" w14:textId="77777777" w:rsidR="002B4129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Сроки реализации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4D7C2" w14:textId="77777777" w:rsidR="002B4129" w:rsidRPr="008C6703" w:rsidRDefault="002B4129" w:rsidP="00AE4C01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Ответственное структурное подразделение</w:t>
            </w:r>
            <w:r w:rsidR="00AE4C0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 (контактные данные)</w:t>
            </w:r>
          </w:p>
        </w:tc>
      </w:tr>
      <w:tr w:rsidR="002B4129" w:rsidRPr="00AB20F1" w14:paraId="7E11282C" w14:textId="77777777" w:rsidTr="00A05F93">
        <w:trPr>
          <w:cantSplit/>
          <w:trHeight w:val="80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</w:tcPr>
          <w:p w14:paraId="3B9B103F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6CB2404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9334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255B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EA74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14:paraId="76C2B7CA" w14:textId="77777777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</w:tcPr>
          <w:p w14:paraId="733F1D7D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575B27D7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14:paraId="5F143E71" w14:textId="77777777" w:rsidR="002B4129" w:rsidRPr="00AB20F1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D01D" w14:textId="0D5B476A" w:rsidR="007807B4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807B4">
              <w:rPr>
                <w:rFonts w:ascii="Times New Roman" w:hAnsi="Times New Roman"/>
                <w:sz w:val="28"/>
                <w:szCs w:val="28"/>
              </w:rPr>
              <w:t>Официальный сайт Министерства в сети «Интернет»:</w:t>
            </w:r>
          </w:p>
          <w:p w14:paraId="303041A6" w14:textId="499FCF05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текст нормативных правовых актов, регулирующих осуществление контроля (надзора); сведени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14:paraId="4653532C" w14:textId="2CF69744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руководство по соблюдению обязательных требований, разработанных и утвержденных в соответствии с Федеральным законом от 31 июля 2020 года № 247- ФЗ «Об обязательных требованиях в Российской Федерации»;</w:t>
            </w:r>
          </w:p>
          <w:p w14:paraId="05AA9EF9" w14:textId="71C76ABF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7DA15DB7" w14:textId="77777777" w:rsidR="00A05F93" w:rsidRPr="00E90C97" w:rsidRDefault="00A05F93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2953C94" w14:textId="4854F632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переч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2241C06D" w14:textId="05722EED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программы профилактики рисков причинения вреда и план проведения плановых контрольных (надзорных) мероприятий;</w:t>
            </w:r>
          </w:p>
          <w:p w14:paraId="4F7FD416" w14:textId="40930605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которые могут запрашиваться у контролируемого лица;</w:t>
            </w:r>
          </w:p>
          <w:p w14:paraId="4F3841B8" w14:textId="266A1823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порядке до</w:t>
            </w:r>
            <w:r w:rsidR="00941D7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судебного обжалования решений Министерства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действий (бездействия) его должностных лиц;</w:t>
            </w:r>
          </w:p>
          <w:p w14:paraId="3C3E0EC7" w14:textId="106BBA21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, содержащих результаты обобщения </w:t>
            </w:r>
            <w:r w:rsidR="007807B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правоприменительной практики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3C9C774" w14:textId="43F4EA7F" w:rsidR="002B4129" w:rsidRPr="00E90C97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государственном контроле (надзоре);</w:t>
            </w:r>
          </w:p>
          <w:p w14:paraId="5EF57AD7" w14:textId="709CFD9F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предусмотренных нормативными правовыми актами Российской Федерации, нормативными правовыми актами субъекта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EB3A859" w14:textId="6A550E6F" w:rsidR="00A05F93" w:rsidRPr="00AB20F1" w:rsidRDefault="002B4129" w:rsidP="007807B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-памятки для работодателей, разработанные с учетом 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нормативных правовых актов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субъекта 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4164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E2F51C1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оддержание информации в актуальном состоянии</w:t>
            </w:r>
          </w:p>
          <w:p w14:paraId="486003F9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26853D67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60915901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43106B3B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67EE978A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4738728F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B8FA13A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02920A3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4D5DCA4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B7E47BD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692CE11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48F822B0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7257A2D6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270ED0F9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7E73A337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5496F1D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D38885F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CD4805F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F4DB0E0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42875E96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E4478D5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3DC6324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8D414CD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B2EC335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C038DB7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7F606790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0720775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2194EEFE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69A157CB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6DB1F88F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F9982C7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1F3AFDD0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3527CF28" w14:textId="77777777" w:rsidR="008F1E8D" w:rsidRDefault="008F1E8D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53430D05" w14:textId="77777777" w:rsidR="008F1E8D" w:rsidRDefault="008F1E8D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4E574A56" w14:textId="77777777" w:rsidR="008F1E8D" w:rsidRDefault="008F1E8D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5CBB710" w14:textId="77777777" w:rsidR="008F1E8D" w:rsidRDefault="008F1E8D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733A90EA" w14:textId="77777777" w:rsidR="008F1E8D" w:rsidRDefault="008F1E8D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28D65260" w14:textId="492D4FA3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FFF9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14:paraId="367D44D9" w14:textId="77777777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</w:tcPr>
          <w:p w14:paraId="3D3E951D" w14:textId="77777777"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14:paraId="24EB40F2" w14:textId="77777777" w:rsidR="002B4129" w:rsidRPr="00AB20F1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73B5C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E4B8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Проведение консультаций в письменной форме, по телефону, посредством видео-конференц-связи, на личном приеме либо в ходе </w:t>
            </w:r>
            <w:r w:rsidRPr="00BE4B8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проведения профилактического или контрольного (надзорного) мероприятия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вопросам:</w:t>
            </w:r>
          </w:p>
          <w:p w14:paraId="2C1D2226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с</w:t>
            </w:r>
            <w:r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облюдение обязательных требований в части выполнения обязанности по созданию и (или) выделению рабочих мест в соответствии с установленной квотой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4B3CAAB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формирование локального нормативного акта, содержащего сведения о созданных или выделенных рабочих местах для трудоустройства инвалидов в соответствии с установленной квотой;</w:t>
            </w:r>
          </w:p>
          <w:p w14:paraId="3072EB2C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е</w:t>
            </w:r>
            <w:r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жемесячное представление предусмотренной законом отчетности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3B4C3F0" w14:textId="77777777" w:rsidR="002B4129" w:rsidRPr="00AB20F1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иные вопросы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D9692" w14:textId="77777777" w:rsidR="002B4129" w:rsidRDefault="002B4129" w:rsidP="00213C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личном обращении, </w:t>
            </w:r>
            <w:r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 телефону, в том </w:t>
            </w:r>
            <w:r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числе на «горячую линию»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- 15 минут с момента соединения с оператором; обращение в социальных сетях – в течение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рабочего дня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после поступления обращения; при письменном обращении – 30 дней с момента регистрации заявления</w:t>
            </w:r>
            <w:r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62459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14:paraId="4D11FBEE" w14:textId="77777777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EC6FC7D" w14:textId="77777777"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2D14870" w14:textId="77777777"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270" w14:textId="77777777" w:rsidR="002B4129" w:rsidRDefault="002B4129" w:rsidP="002F6243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Подготовка</w:t>
            </w: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доклада о правоприменительной практике по результатам осуществления государственного контроля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(надзора) </w:t>
            </w:r>
          </w:p>
          <w:p w14:paraId="7A33FCAE" w14:textId="77777777" w:rsidR="002F6243" w:rsidRDefault="002F6243" w:rsidP="002F6243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FAE" w14:textId="77777777" w:rsidR="002B4129" w:rsidRPr="00690DBA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26A" w14:textId="77777777" w:rsidR="002B4129" w:rsidRPr="00690DBA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14:paraId="3BB6A178" w14:textId="77777777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5FAC7FB" w14:textId="77777777"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0D6BEF3" w14:textId="77777777"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5728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Направление контролируемым лицам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на основе анализа исполнения 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квот для приема инвалидов,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>
              <w:t xml:space="preserve"> 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части выполнения обязанности по созданию и (или) выделению рабочих мест в соответствии с установленной квотой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DEA" w14:textId="77777777" w:rsidR="00260AB5" w:rsidRPr="00260AB5" w:rsidRDefault="00260AB5" w:rsidP="00260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AB5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14:paraId="02E45C12" w14:textId="31256FC3" w:rsidR="002B4129" w:rsidRPr="00260AB5" w:rsidRDefault="00260AB5" w:rsidP="00260AB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260AB5">
              <w:rPr>
                <w:rFonts w:ascii="Times New Roman" w:hAnsi="Times New Roman"/>
                <w:sz w:val="28"/>
                <w:szCs w:val="28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DD68" w14:textId="77777777" w:rsidR="002B4129" w:rsidRPr="00690DBA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14:paraId="75604490" w14:textId="77777777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85D5C65" w14:textId="77777777"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0AE8CCB" w14:textId="77777777"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C7D" w14:textId="77777777" w:rsidR="002B4129" w:rsidRPr="00ED40FE" w:rsidRDefault="002B4129" w:rsidP="006B3247">
            <w:pPr>
              <w:ind w:left="36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профилактического визита:</w:t>
            </w:r>
          </w:p>
          <w:p w14:paraId="3F9F2865" w14:textId="23F446AF" w:rsidR="002B4129" w:rsidRPr="00A25FCC" w:rsidRDefault="00A25FCC" w:rsidP="00FF1F22">
            <w:pPr>
              <w:pStyle w:val="a3"/>
              <w:numPr>
                <w:ilvl w:val="0"/>
                <w:numId w:val="7"/>
              </w:numPr>
              <w:ind w:left="33" w:firstLine="284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обязательного в отношении </w:t>
            </w:r>
            <w:r w:rsidR="002B4129"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объектов контроля, отнесенных к категориям </w:t>
            </w:r>
            <w:r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2B4129"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начительного </w:t>
            </w:r>
            <w:r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 среднего </w:t>
            </w:r>
            <w:r w:rsidR="002B4129" w:rsidRP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риска</w:t>
            </w:r>
          </w:p>
          <w:p w14:paraId="57DD8C52" w14:textId="77777777" w:rsidR="002B4129" w:rsidRDefault="002B4129" w:rsidP="006B3247">
            <w:pPr>
              <w:pStyle w:val="a3"/>
              <w:ind w:left="33" w:firstLine="284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157015B8" w14:textId="77777777" w:rsidR="000D0024" w:rsidRDefault="000D0024" w:rsidP="006B3247">
            <w:pPr>
              <w:pStyle w:val="a3"/>
              <w:ind w:left="33" w:firstLine="284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07FDF4FF" w14:textId="77777777" w:rsidR="000D0024" w:rsidRDefault="00260AB5" w:rsidP="006B3247">
            <w:pPr>
              <w:pStyle w:val="a3"/>
              <w:ind w:left="33" w:firstLine="284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8B07D1" w14:textId="77777777" w:rsidR="00260AB5" w:rsidRDefault="00260AB5" w:rsidP="006B3247">
            <w:pPr>
              <w:pStyle w:val="a3"/>
              <w:ind w:left="33" w:firstLine="284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695D19A0" w14:textId="6D486D68" w:rsidR="002B4129" w:rsidRPr="00B47490" w:rsidRDefault="00A25FCC" w:rsidP="00794379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B4129"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2B4129"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 инициативе контролируемого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849" w14:textId="77777777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14:paraId="1023A759" w14:textId="19B14B4C" w:rsidR="002B4129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соответствии с установленным графиком</w:t>
            </w:r>
            <w:r w:rsid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профилактических визитов </w:t>
            </w:r>
            <w:r w:rsidR="00A25F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br/>
              <w:t>на 2024 год</w:t>
            </w:r>
          </w:p>
          <w:p w14:paraId="00729450" w14:textId="77777777" w:rsidR="00260AB5" w:rsidRPr="00354758" w:rsidRDefault="00260AB5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8BEB52E" w14:textId="7556D761" w:rsidR="002B4129" w:rsidRPr="007B17ED" w:rsidRDefault="003A4893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сроки</w:t>
            </w:r>
            <w:r w:rsidR="00941D7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установленные </w:t>
            </w:r>
            <w:r w:rsidR="00941D78" w:rsidRPr="00941D78">
              <w:rPr>
                <w:rFonts w:ascii="Times New Roman" w:hAnsi="Times New Roman"/>
                <w:sz w:val="28"/>
                <w:szCs w:val="28"/>
              </w:rPr>
              <w:t xml:space="preserve">Федеральным </w:t>
            </w:r>
            <w:hyperlink r:id="rId1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      <w:r w:rsidR="00941D78" w:rsidRPr="00941D78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941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D78">
              <w:rPr>
                <w:rFonts w:ascii="Times New Roman" w:hAnsi="Times New Roman"/>
                <w:sz w:val="28"/>
                <w:szCs w:val="28"/>
              </w:rPr>
              <w:br/>
              <w:t>от 31 июля 2020 года N 248-ФЗ «</w:t>
            </w:r>
            <w:r w:rsidR="00941D78" w:rsidRPr="00941D78">
              <w:rPr>
                <w:rFonts w:ascii="Times New Roman" w:hAnsi="Times New Roman"/>
                <w:sz w:val="28"/>
                <w:szCs w:val="28"/>
              </w:rPr>
              <w:t xml:space="preserve">О государственном контроле (надзоре) и муниципальном </w:t>
            </w:r>
            <w:r w:rsidR="00941D78">
              <w:rPr>
                <w:rFonts w:ascii="Times New Roman" w:hAnsi="Times New Roman"/>
                <w:sz w:val="28"/>
                <w:szCs w:val="28"/>
              </w:rPr>
              <w:t>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996" w14:textId="77777777" w:rsidR="002B4129" w:rsidRPr="00690DBA" w:rsidRDefault="002B412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93338EF" w14:textId="76B7B39D" w:rsidR="002B4129" w:rsidRDefault="002B4129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5431C535" w14:textId="77777777" w:rsidR="00941D78" w:rsidRDefault="00941D78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78886330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3522F89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2F6616E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61047773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0367635A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305B2EBD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351CE798" w14:textId="77777777" w:rsidR="009B6B1A" w:rsidRDefault="009B6B1A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187CF1EB" w14:textId="77777777" w:rsidR="00BB54F9" w:rsidRDefault="00BB54F9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2E046606" w14:textId="77777777" w:rsidR="009B6B1A" w:rsidRDefault="009B6B1A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4D8D3CA" w14:textId="77777777" w:rsidR="009B6B1A" w:rsidRPr="009B6B1A" w:rsidRDefault="009B6B1A" w:rsidP="009B6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B1A">
        <w:rPr>
          <w:rFonts w:ascii="Times New Roman" w:hAnsi="Times New Roman"/>
          <w:sz w:val="28"/>
          <w:szCs w:val="28"/>
        </w:rPr>
        <w:t>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14:paraId="72E70C89" w14:textId="6F159502" w:rsidR="009B6B1A" w:rsidRPr="009B6B1A" w:rsidRDefault="009B6B1A" w:rsidP="009B6B1A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B6B1A">
        <w:rPr>
          <w:rFonts w:ascii="Times New Roman" w:hAnsi="Times New Roman"/>
          <w:sz w:val="28"/>
          <w:szCs w:val="28"/>
        </w:rPr>
        <w:t>Показателями результативности профилактических мероприятий являются:</w:t>
      </w:r>
      <w:bookmarkStart w:id="0" w:name="_GoBack"/>
      <w:bookmarkEnd w:id="0"/>
    </w:p>
    <w:p w14:paraId="24E33804" w14:textId="77777777" w:rsidR="00452862" w:rsidRDefault="009B6B1A" w:rsidP="009B6B1A">
      <w:pPr>
        <w:pStyle w:val="aff3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B6B1A">
        <w:rPr>
          <w:rFonts w:ascii="Times New Roman" w:hAnsi="Times New Roman"/>
          <w:sz w:val="28"/>
          <w:szCs w:val="28"/>
        </w:rPr>
        <w:t>увеличение количества работодателей, исполнивших обязанность по созданию (выделени</w:t>
      </w:r>
      <w:r>
        <w:rPr>
          <w:rFonts w:ascii="Times New Roman" w:hAnsi="Times New Roman"/>
          <w:sz w:val="28"/>
          <w:szCs w:val="28"/>
        </w:rPr>
        <w:t>ю)</w:t>
      </w:r>
      <w:r w:rsidRPr="009B6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мест для </w:t>
      </w:r>
      <w:r w:rsidR="00452862">
        <w:rPr>
          <w:rFonts w:ascii="Times New Roman" w:hAnsi="Times New Roman"/>
          <w:sz w:val="28"/>
          <w:szCs w:val="28"/>
        </w:rPr>
        <w:t xml:space="preserve">трудоустройства </w:t>
      </w:r>
      <w:r>
        <w:rPr>
          <w:rFonts w:ascii="Times New Roman" w:hAnsi="Times New Roman"/>
          <w:sz w:val="28"/>
          <w:szCs w:val="28"/>
        </w:rPr>
        <w:t xml:space="preserve">инвалидов </w:t>
      </w:r>
      <w:r w:rsidRPr="00BB54F9">
        <w:rPr>
          <w:rFonts w:ascii="Times New Roman" w:hAnsi="Times New Roman"/>
          <w:sz w:val="28"/>
          <w:szCs w:val="28"/>
        </w:rPr>
        <w:t>в счет установленной квоты</w:t>
      </w:r>
      <w:r w:rsidRPr="009B6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числа работодателей, обязанных создавать (выделять) рабочие места для инвалидов,</w:t>
      </w:r>
      <w:r w:rsidR="00452862">
        <w:rPr>
          <w:rFonts w:ascii="Times New Roman" w:hAnsi="Times New Roman"/>
          <w:sz w:val="28"/>
          <w:szCs w:val="28"/>
        </w:rPr>
        <w:t xml:space="preserve"> %;</w:t>
      </w:r>
    </w:p>
    <w:p w14:paraId="1EB0D491" w14:textId="77777777" w:rsidR="00452862" w:rsidRDefault="009B6B1A" w:rsidP="00452862">
      <w:pPr>
        <w:pStyle w:val="aff3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2862" w:rsidRPr="009B6B1A">
        <w:rPr>
          <w:rFonts w:ascii="Times New Roman" w:hAnsi="Times New Roman"/>
          <w:sz w:val="28"/>
          <w:szCs w:val="28"/>
        </w:rPr>
        <w:t xml:space="preserve">увеличение количества работодателей, </w:t>
      </w:r>
      <w:r w:rsidR="00452862">
        <w:rPr>
          <w:rFonts w:ascii="Times New Roman" w:hAnsi="Times New Roman"/>
          <w:sz w:val="28"/>
          <w:szCs w:val="28"/>
        </w:rPr>
        <w:t xml:space="preserve">оформивших в установленном порядке трудовых отношений с инвалидами </w:t>
      </w:r>
      <w:r w:rsidR="00452862" w:rsidRPr="00BB54F9">
        <w:rPr>
          <w:rFonts w:ascii="Times New Roman" w:hAnsi="Times New Roman"/>
          <w:bCs/>
          <w:sz w:val="28"/>
          <w:szCs w:val="28"/>
        </w:rPr>
        <w:t>в рамках исполнения обязанности по трудоустройству инвалидов в соответствии с установленной квотой</w:t>
      </w:r>
      <w:r w:rsidR="00452862">
        <w:rPr>
          <w:rFonts w:ascii="Times New Roman" w:hAnsi="Times New Roman"/>
          <w:bCs/>
          <w:sz w:val="28"/>
          <w:szCs w:val="28"/>
        </w:rPr>
        <w:t xml:space="preserve">, </w:t>
      </w:r>
      <w:r w:rsidR="00452862">
        <w:rPr>
          <w:rFonts w:ascii="Times New Roman" w:hAnsi="Times New Roman"/>
          <w:sz w:val="28"/>
          <w:szCs w:val="28"/>
        </w:rPr>
        <w:t>от общего числа работодателей, обязанных создавать (выделять) рабочие места для инвалидов, %;</w:t>
      </w:r>
    </w:p>
    <w:p w14:paraId="6587E539" w14:textId="4575DCF2" w:rsidR="00452862" w:rsidRPr="00452862" w:rsidRDefault="00452862" w:rsidP="0045286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в 2024</w:t>
      </w:r>
      <w:r w:rsidRPr="00452862">
        <w:rPr>
          <w:rFonts w:ascii="Times New Roman" w:hAnsi="Times New Roman"/>
          <w:sz w:val="28"/>
          <w:szCs w:val="28"/>
        </w:rPr>
        <w:t xml:space="preserve"> году профилактических мероприятий, ед.</w:t>
      </w:r>
    </w:p>
    <w:p w14:paraId="2A527DCD" w14:textId="77777777" w:rsidR="0078732D" w:rsidRPr="001345FD" w:rsidRDefault="00AE4C01" w:rsidP="00452862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B54F9" w:rsidRPr="00BB54F9">
        <w:rPr>
          <w:rFonts w:ascii="Times New Roman" w:hAnsi="Times New Roman"/>
          <w:sz w:val="28"/>
          <w:szCs w:val="28"/>
        </w:rPr>
        <w:t>асчет показателей результативности и эффективности программы профилактики осуществляется в рамках подготовки сведений (докладов) об итогах реализац</w:t>
      </w:r>
      <w:r w:rsidR="003A6595">
        <w:rPr>
          <w:rFonts w:ascii="Times New Roman" w:hAnsi="Times New Roman"/>
          <w:sz w:val="28"/>
          <w:szCs w:val="28"/>
        </w:rPr>
        <w:t>ии программы профилактики до «1» марта 2025</w:t>
      </w:r>
      <w:r w:rsidR="00BB54F9" w:rsidRPr="00BB54F9">
        <w:rPr>
          <w:rFonts w:ascii="Times New Roman" w:hAnsi="Times New Roman"/>
          <w:sz w:val="28"/>
          <w:szCs w:val="28"/>
        </w:rPr>
        <w:t xml:space="preserve"> года.</w:t>
      </w:r>
    </w:p>
    <w:sectPr w:rsidR="0078732D" w:rsidRPr="001345FD">
      <w:headerReference w:type="even" r:id="rId12"/>
      <w:headerReference w:type="default" r:id="rId13"/>
      <w:pgSz w:w="16837" w:h="11905" w:orient="landscape"/>
      <w:pgMar w:top="567" w:right="1134" w:bottom="1418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E538" w14:textId="77777777" w:rsidR="00CB3108" w:rsidRDefault="00CB3108">
      <w:r>
        <w:separator/>
      </w:r>
    </w:p>
  </w:endnote>
  <w:endnote w:type="continuationSeparator" w:id="0">
    <w:p w14:paraId="663B2EA7" w14:textId="77777777" w:rsidR="00CB3108" w:rsidRDefault="00CB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899F5" w14:textId="77777777" w:rsidR="00CB3108" w:rsidRDefault="00CB3108">
      <w:r>
        <w:separator/>
      </w:r>
    </w:p>
  </w:footnote>
  <w:footnote w:type="continuationSeparator" w:id="0">
    <w:p w14:paraId="18F276CD" w14:textId="77777777" w:rsidR="00CB3108" w:rsidRDefault="00CB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1EED" w14:textId="77777777" w:rsidR="004D1343" w:rsidRDefault="00586FD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2862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580264"/>
      <w:docPartObj>
        <w:docPartGallery w:val="Page Numbers (Top of Page)"/>
        <w:docPartUnique/>
      </w:docPartObj>
    </w:sdtPr>
    <w:sdtEndPr/>
    <w:sdtContent>
      <w:p w14:paraId="7FA34114" w14:textId="77777777" w:rsidR="00AE4C01" w:rsidRDefault="00AE4C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62">
          <w:rPr>
            <w:noProof/>
          </w:rPr>
          <w:t>1</w:t>
        </w:r>
        <w:r>
          <w:fldChar w:fldCharType="end"/>
        </w:r>
      </w:p>
    </w:sdtContent>
  </w:sdt>
  <w:p w14:paraId="3504864A" w14:textId="77777777" w:rsidR="00AE4C01" w:rsidRDefault="00AE4C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6F53" w14:textId="77777777"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2E73B7D1" w14:textId="77777777" w:rsidR="004D1343" w:rsidRDefault="004D134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F4B07" w14:textId="77777777"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452862">
      <w:rPr>
        <w:rStyle w:val="aff1"/>
        <w:noProof/>
      </w:rPr>
      <w:t>12</w:t>
    </w:r>
    <w:r>
      <w:rPr>
        <w:rStyle w:val="aff1"/>
      </w:rPr>
      <w:fldChar w:fldCharType="end"/>
    </w:r>
  </w:p>
  <w:p w14:paraId="696E4F0A" w14:textId="77777777" w:rsidR="004D1343" w:rsidRDefault="004D13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1B054C64"/>
    <w:multiLevelType w:val="multilevel"/>
    <w:tmpl w:val="AC689A4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6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7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43"/>
    <w:rsid w:val="00025B84"/>
    <w:rsid w:val="00042B90"/>
    <w:rsid w:val="00056BEB"/>
    <w:rsid w:val="0009273B"/>
    <w:rsid w:val="000D0024"/>
    <w:rsid w:val="000D2DE5"/>
    <w:rsid w:val="000D7280"/>
    <w:rsid w:val="000E6911"/>
    <w:rsid w:val="000F5A7E"/>
    <w:rsid w:val="00120150"/>
    <w:rsid w:val="001345FD"/>
    <w:rsid w:val="00142E08"/>
    <w:rsid w:val="00172344"/>
    <w:rsid w:val="001776E7"/>
    <w:rsid w:val="001C56D6"/>
    <w:rsid w:val="001E7704"/>
    <w:rsid w:val="00213A63"/>
    <w:rsid w:val="00213CE1"/>
    <w:rsid w:val="002245B3"/>
    <w:rsid w:val="002345E2"/>
    <w:rsid w:val="0025127E"/>
    <w:rsid w:val="00257B18"/>
    <w:rsid w:val="00260AB5"/>
    <w:rsid w:val="00270FD4"/>
    <w:rsid w:val="002B4129"/>
    <w:rsid w:val="002D40F4"/>
    <w:rsid w:val="002F6243"/>
    <w:rsid w:val="003001EF"/>
    <w:rsid w:val="0034602A"/>
    <w:rsid w:val="00350992"/>
    <w:rsid w:val="00354758"/>
    <w:rsid w:val="003A4893"/>
    <w:rsid w:val="003A6595"/>
    <w:rsid w:val="00452862"/>
    <w:rsid w:val="004C5943"/>
    <w:rsid w:val="004D1343"/>
    <w:rsid w:val="00503F89"/>
    <w:rsid w:val="00536154"/>
    <w:rsid w:val="00562118"/>
    <w:rsid w:val="005710CD"/>
    <w:rsid w:val="00574C72"/>
    <w:rsid w:val="0058112D"/>
    <w:rsid w:val="00586FD1"/>
    <w:rsid w:val="00593F9F"/>
    <w:rsid w:val="005D5D61"/>
    <w:rsid w:val="005E1958"/>
    <w:rsid w:val="005E6907"/>
    <w:rsid w:val="00603D29"/>
    <w:rsid w:val="00621E01"/>
    <w:rsid w:val="00674FAA"/>
    <w:rsid w:val="006751F5"/>
    <w:rsid w:val="006B50FF"/>
    <w:rsid w:val="00711511"/>
    <w:rsid w:val="007177F1"/>
    <w:rsid w:val="00740E61"/>
    <w:rsid w:val="0075342C"/>
    <w:rsid w:val="00772F15"/>
    <w:rsid w:val="007768B4"/>
    <w:rsid w:val="007807B4"/>
    <w:rsid w:val="0078732D"/>
    <w:rsid w:val="0078797C"/>
    <w:rsid w:val="00787BA7"/>
    <w:rsid w:val="00794379"/>
    <w:rsid w:val="00826A0E"/>
    <w:rsid w:val="00833C3D"/>
    <w:rsid w:val="00847477"/>
    <w:rsid w:val="00882270"/>
    <w:rsid w:val="008C35B3"/>
    <w:rsid w:val="008F1B8B"/>
    <w:rsid w:val="008F1E8D"/>
    <w:rsid w:val="00941D78"/>
    <w:rsid w:val="0095269F"/>
    <w:rsid w:val="00966134"/>
    <w:rsid w:val="009B6B1A"/>
    <w:rsid w:val="009D228F"/>
    <w:rsid w:val="009F104A"/>
    <w:rsid w:val="00A05F93"/>
    <w:rsid w:val="00A25FCC"/>
    <w:rsid w:val="00A30D24"/>
    <w:rsid w:val="00A44E01"/>
    <w:rsid w:val="00A823A5"/>
    <w:rsid w:val="00AB20F1"/>
    <w:rsid w:val="00AD5E03"/>
    <w:rsid w:val="00AE39C1"/>
    <w:rsid w:val="00AE4C01"/>
    <w:rsid w:val="00B26ADF"/>
    <w:rsid w:val="00B70DFC"/>
    <w:rsid w:val="00B807A3"/>
    <w:rsid w:val="00BB1B76"/>
    <w:rsid w:val="00BB54F9"/>
    <w:rsid w:val="00BF747E"/>
    <w:rsid w:val="00C075EF"/>
    <w:rsid w:val="00C51F8E"/>
    <w:rsid w:val="00C7487B"/>
    <w:rsid w:val="00CB3108"/>
    <w:rsid w:val="00CD3FD7"/>
    <w:rsid w:val="00D01CA5"/>
    <w:rsid w:val="00D021DB"/>
    <w:rsid w:val="00D27EF3"/>
    <w:rsid w:val="00D7106D"/>
    <w:rsid w:val="00D91DB9"/>
    <w:rsid w:val="00DA3695"/>
    <w:rsid w:val="00DC6B87"/>
    <w:rsid w:val="00E07CFA"/>
    <w:rsid w:val="00E54B04"/>
    <w:rsid w:val="00E67278"/>
    <w:rsid w:val="00E676DB"/>
    <w:rsid w:val="00EA687F"/>
    <w:rsid w:val="00ED40FE"/>
    <w:rsid w:val="00EE1BBF"/>
    <w:rsid w:val="00F5651E"/>
    <w:rsid w:val="00FA1E60"/>
    <w:rsid w:val="00FA2C74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0EE5"/>
  <w15:docId w15:val="{03500F52-2F3D-4293-B319-63DDE55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3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character" w:styleId="aff2">
    <w:name w:val="annotation reference"/>
    <w:basedOn w:val="a0"/>
    <w:uiPriority w:val="99"/>
    <w:semiHidden/>
    <w:unhideWhenUsed/>
    <w:rsid w:val="00E6727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67278"/>
    <w:rPr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67278"/>
    <w:rPr>
      <w:rFonts w:ascii="Arial" w:eastAsia="Arial Unicode MS" w:hAnsi="Arial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6727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67278"/>
    <w:rPr>
      <w:rFonts w:ascii="Arial" w:eastAsia="Arial Unicode M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00723D9D9EFC9951CC67DF1FFBA483D74FC8362DC9E747AE42EEA1857D5ED976FF946DF6F446A99B5D045C1lCk8O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5070DFB4C5A0D9656C79242D49CC18115026A6A6638C1F27AC79323F67311A217D008071806092AE22D4D8A2849D24AABC623C8C90B5ECL3n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B92-CE73-4D64-8134-D5261724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17436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Шаимова Ольга Михайловна</cp:lastModifiedBy>
  <cp:revision>4</cp:revision>
  <cp:lastPrinted>2023-08-17T07:20:00Z</cp:lastPrinted>
  <dcterms:created xsi:type="dcterms:W3CDTF">2023-09-28T08:00:00Z</dcterms:created>
  <dcterms:modified xsi:type="dcterms:W3CDTF">2023-09-28T11:12:00Z</dcterms:modified>
  <cp:version>1048576</cp:version>
</cp:coreProperties>
</file>