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tbl>
      <w:tblPr>
        <w:tblW w:w="5000" w:type="pct"/>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ook w:val="04A0" w:firstRow="1" w:lastRow="0" w:firstColumn="1" w:lastColumn="0" w:noHBand="0" w:noVBand="1"/>
      </w:tblPr>
      <w:tblGrid>
        <w:gridCol w:w="10716"/>
      </w:tblGrid>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PrEx>
        <w:trPr>
          <w:trHeight w:val="3031" w:hRule="exact"/>
        </w:trPr>
        <w:tc>
          <w:tcPr>
            <w:tcBorders>
              <w:top w:val="none" w:color="000000" w:sz="4" w:space="0"/>
              <w:left w:val="none" w:color="000000" w:sz="4" w:space="0"/>
              <w:bottom w:val="none" w:color="000000" w:sz="4" w:space="0"/>
              <w:right w:val="none" w:color="000000" w:sz="4" w:space="0"/>
            </w:tcBorders>
            <w:tcMar>
              <w:left w:w="80" w:type="dxa"/>
              <w:top w:w="60" w:type="dxa"/>
              <w:right w:w="80" w:type="dxa"/>
              <w:bottom w:w="60" w:type="dxa"/>
            </w:tcMar>
            <w:tcW w:w="10716" w:type="dxa"/>
            <w:textDirection w:val="lrTb"/>
            <w:noWrap w:val="false"/>
          </w:tcPr>
          <w:p>
            <w:pPr>
              <w:pStyle w:val="832"/>
            </w:pPr>
            <w:r>
              <w:rPr>
                <w:position w:val="-61"/>
              </w:rPr>
              <mc:AlternateContent>
                <mc:Choice Requires="wpg">
                  <w:drawing>
                    <wp:inline xmlns:wp="http://schemas.openxmlformats.org/drawingml/2006/wordprocessingDrawing"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ic:nvPr/>
                            </pic:nvPicPr>
                            <pic:blipFill>
                              <a:blip r:embed="rId12"/>
                              <a:stretch/>
                            </pic:blipFill>
                            <pic:spPr bwMode="auto">
                              <a:xfrm>
                                <a:off x="0" y="0"/>
                                <a:ext cx="3810000" cy="904875"/>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300.00pt;height:71.25pt;mso-wrap-distance-left:0.00pt;mso-wrap-distance-top:0.00pt;mso-wrap-distance-right:0.00pt;mso-wrap-distance-bottom:0.00pt;" stroked="f">
                      <v:path textboxrect="0,0,0,0"/>
                      <v:imagedata r:id="rId12" o:title=""/>
                    </v:shape>
                  </w:pict>
                </mc:Fallback>
              </mc:AlternateContent>
            </w:r>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PrEx>
        <w:trPr>
          <w:trHeight w:val="8335" w:hRule="exact"/>
        </w:trPr>
        <w:tc>
          <w:tcPr>
            <w:tcBorders>
              <w:top w:val="none" w:color="000000" w:sz="4" w:space="0"/>
              <w:left w:val="none" w:color="000000" w:sz="4" w:space="0"/>
              <w:bottom w:val="none" w:color="000000" w:sz="4" w:space="0"/>
              <w:right w:val="none" w:color="000000" w:sz="4" w:space="0"/>
            </w:tcBorders>
            <w:tcMar>
              <w:left w:w="80" w:type="dxa"/>
              <w:top w:w="60" w:type="dxa"/>
              <w:right w:w="80" w:type="dxa"/>
              <w:bottom w:w="60" w:type="dxa"/>
            </w:tcMar>
            <w:tcW w:w="10716" w:type="dxa"/>
            <w:vAlign w:val="center"/>
            <w:textDirection w:val="lrTb"/>
            <w:noWrap w:val="false"/>
          </w:tcPr>
          <w:p>
            <w:pPr>
              <w:pStyle w:val="832"/>
              <w:jc w:val="center"/>
            </w:pPr>
            <w:r>
              <w:rPr>
                <w:sz w:val="48"/>
              </w:rPr>
              <w:t xml:space="preserve">Приказ Минсоцполитики УР от 28.12.2020 N 379</w:t>
              <w:br/>
              <w:t xml:space="preserve">(ред. от 28.02.2025)</w:t>
              <w:br/>
              <w:t xml:space="preserve">"Об утверждении Порядка определен</w:t>
            </w:r>
            <w:r>
              <w:rPr>
                <w:sz w:val="48"/>
              </w:rPr>
              <w:t xml:space="preserve">ия объема и условий предоставления субсидий на иные цели бюджетным и автономным учреждениям, подведомственным Министерству социальной политики и труда Удмуртской Республики"</w:t>
              <w:br/>
              <w:t xml:space="preserve">(Зарегистрировано в Управлении Минюста России по УР 02.03.2021 N RU18000202001850)</w:t>
            </w:r>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PrEx>
        <w:trPr>
          <w:trHeight w:val="3031" w:hRule="exact"/>
        </w:trPr>
        <w:tc>
          <w:tcPr>
            <w:tcBorders>
              <w:top w:val="none" w:color="000000" w:sz="4" w:space="0"/>
              <w:left w:val="none" w:color="000000" w:sz="4" w:space="0"/>
              <w:bottom w:val="none" w:color="000000" w:sz="4" w:space="0"/>
              <w:right w:val="none" w:color="000000" w:sz="4" w:space="0"/>
            </w:tcBorders>
            <w:tcMar>
              <w:left w:w="80" w:type="dxa"/>
              <w:top w:w="60" w:type="dxa"/>
              <w:right w:w="80" w:type="dxa"/>
              <w:bottom w:w="60" w:type="dxa"/>
            </w:tcMar>
            <w:tcW w:w="10716" w:type="dxa"/>
            <w:vAlign w:val="center"/>
            <w:textDirection w:val="lrTb"/>
            <w:noWrap w:val="false"/>
          </w:tcPr>
          <w:p>
            <w:pPr>
              <w:pStyle w:val="832"/>
              <w:jc w:val="center"/>
            </w:pPr>
            <w:r>
              <w:rPr>
                <w:sz w:val="28"/>
              </w:rPr>
              <w:t xml:space="preserve">Документ предоставлен </w:t>
            </w:r>
            <w:hyperlink r:id="rId13" w:tooltip="Ссылка на КонсультантПлюс" w:history="1">
              <w:r>
                <w:rPr>
                  <w:b/>
                  <w:color w:val="0000ff"/>
                  <w:sz w:val="28"/>
                </w:rPr>
                <w:t xml:space="preserve">КонсультантПлюс</w:t>
                <w:br/>
                <w:br/>
              </w:r>
            </w:hyperlink>
            <w:r/>
            <w:hyperlink r:id="rId14" w:tooltip="Ссылка на КонсультантПлюс" w:history="1">
              <w:r>
                <w:rPr>
                  <w:b/>
                  <w:color w:val="0000ff"/>
                  <w:sz w:val="28"/>
                </w:rPr>
                <w:t xml:space="preserve">www.consultant.ru</w:t>
              </w:r>
            </w:hyperlink>
            <w:r>
              <w:rPr>
                <w:sz w:val="28"/>
              </w:rPr>
              <w:br/>
              <w:br/>
              <w:t xml:space="preserve">Дата сохранения: 13.03.2025</w:t>
            </w:r>
            <w:r>
              <w:rPr>
                <w:sz w:val="28"/>
              </w:rPr>
              <w:br/>
              <w:t xml:space="preserve"> </w:t>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ectPr>
          <w:footnotePr/>
          <w:endnotePr/>
          <w:type w:val="nextPage"/>
          <w:pgSz w:w="11906" w:h="16838" w:orient="portrait"/>
          <w:pgMar w:top="841" w:right="595" w:bottom="841" w:left="595" w:header="0" w:footer="0" w:gutter="0"/>
          <w:cols w:num="1" w:sep="0" w:space="1701" w:equalWidth="1"/>
          <w:docGrid w:linePitch="360"/>
          <w:titlePg/>
        </w:sectP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Зарегистрировано в Управлении Минюста России по УР 2 марта 2021 г. N RU18000202001850</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
          <w:szCs w:val="2"/>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
          <w:szCs w:val="2"/>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МИНИСТЕРСТВО 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от 28 декабря 2020 г. N 379</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ОБ УТВЕРЖДЕНИИ ПОРЯДКА ОПРЕДЕЛЕНИЯ ОБЪЕМА И УСЛОВИЙ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ПРЕДОСТАВЛЕНИЯ СУБСИДИЙ НА ИНЫЕ ЦЕЛИ БЮДЖЕТНЫМ И АВТОНОМНЫМ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УЧРЕЖДЕНИЯМ, ПОДВЕДОМСТВЕННЫМ МИНИСТЕРСТВУ СОЦИАЛЬНОЙ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ПОЛИТИКИ И ТРУДА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tbl>
      <w:tblPr>
        <w:tblW w:w="5000" w:type="pct"/>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ook w:val="04A0" w:firstRow="1" w:lastRow="0" w:firstColumn="1" w:lastColumn="0" w:noHBand="0" w:noVBand="1"/>
      </w:tblPr>
      <w:tblGrid>
        <w:gridCol w:w="60"/>
        <w:gridCol w:w="113"/>
        <w:gridCol w:w="9921"/>
        <w:gridCol w:w="113"/>
      </w:tblGrid>
      <w:tr>
        <w:tblPrEx/>
        <w:trPr/>
        <w:tc>
          <w:tcPr>
            <w:shd w:val="clear" w:color="auto" w:fill="ced3f1"/>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60"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113" w:type="dxa"/>
              <w:right w:w="0" w:type="dxa"/>
              <w:bottom w:w="113" w:type="dxa"/>
            </w:tcMar>
            <w:tcW w:w="0" w:type="auto"/>
            <w:textDirection w:val="lrTb"/>
            <w:noWrap w:val="false"/>
          </w:tcPr>
          <w:p>
            <w:pPr>
              <w:pStyle w:val="827"/>
              <w:jc w:val="center"/>
            </w:pPr>
            <w:r>
              <w:rPr>
                <w:color w:val="392c69"/>
                <w:sz w:val="24"/>
              </w:rPr>
              <w:t xml:space="preserve">Список изменяющих документов</w:t>
            </w:r>
            <w:r/>
          </w:p>
          <w:p>
            <w:pPr>
              <w:pStyle w:val="827"/>
              <w:jc w:val="center"/>
            </w:pPr>
            <w:r>
              <w:rPr>
                <w:color w:val="392c69"/>
                <w:sz w:val="24"/>
              </w:rPr>
              <w:t xml:space="preserve">(в ред. приказов Минсоцполитики УР от 24.05.2021 </w:t>
            </w:r>
            <w:r>
              <w:rPr>
                <w:color w:val="392c69"/>
                <w:sz w:val="24"/>
              </w:rPr>
              <w:t xml:space="preserve">N 130</w:t>
            </w:r>
            <w:r>
              <w:rPr>
                <w:color w:val="392c69"/>
                <w:sz w:val="24"/>
              </w:rPr>
              <w:t xml:space="preserve">,</w:t>
            </w:r>
            <w:r/>
          </w:p>
          <w:p>
            <w:pPr>
              <w:pStyle w:val="827"/>
              <w:jc w:val="center"/>
            </w:pPr>
            <w:r>
              <w:rPr>
                <w:color w:val="392c69"/>
                <w:sz w:val="24"/>
              </w:rPr>
              <w:t xml:space="preserve">от 19.07.2022 </w:t>
            </w:r>
            <w:r>
              <w:rPr>
                <w:color w:val="392c69"/>
                <w:sz w:val="24"/>
              </w:rPr>
              <w:t xml:space="preserve">N 137</w:t>
            </w:r>
            <w:r>
              <w:rPr>
                <w:color w:val="392c69"/>
                <w:sz w:val="24"/>
              </w:rPr>
              <w:t xml:space="preserve">, от 28.07.2022 </w:t>
            </w:r>
            <w:r>
              <w:rPr>
                <w:color w:val="392c69"/>
                <w:sz w:val="24"/>
              </w:rPr>
              <w:t xml:space="preserve">N 146</w:t>
            </w:r>
            <w:r>
              <w:rPr>
                <w:color w:val="392c69"/>
                <w:sz w:val="24"/>
              </w:rPr>
              <w:t xml:space="preserve">, от 11.10.2022 </w:t>
            </w:r>
            <w:r>
              <w:rPr>
                <w:color w:val="392c69"/>
                <w:sz w:val="24"/>
              </w:rPr>
              <w:t xml:space="preserve">N 185</w:t>
            </w:r>
            <w:r>
              <w:rPr>
                <w:color w:val="392c69"/>
                <w:sz w:val="24"/>
              </w:rPr>
              <w:t xml:space="preserve">,</w:t>
            </w:r>
            <w:r/>
          </w:p>
          <w:p>
            <w:pPr>
              <w:pStyle w:val="827"/>
              <w:jc w:val="center"/>
            </w:pPr>
            <w:r>
              <w:rPr>
                <w:color w:val="392c69"/>
                <w:sz w:val="24"/>
              </w:rPr>
              <w:t xml:space="preserve">от 24.10.2022 </w:t>
            </w:r>
            <w:r>
              <w:rPr>
                <w:color w:val="392c69"/>
                <w:sz w:val="24"/>
              </w:rPr>
              <w:t xml:space="preserve">N 192</w:t>
            </w:r>
            <w:r>
              <w:rPr>
                <w:color w:val="392c69"/>
                <w:sz w:val="24"/>
              </w:rPr>
              <w:t xml:space="preserve">, от 17.04.2023 </w:t>
            </w:r>
            <w:r>
              <w:rPr>
                <w:color w:val="392c69"/>
                <w:sz w:val="24"/>
              </w:rPr>
              <w:t xml:space="preserve">N 67</w:t>
            </w:r>
            <w:r>
              <w:rPr>
                <w:color w:val="392c69"/>
                <w:sz w:val="24"/>
              </w:rPr>
              <w:t xml:space="preserve">, от 20.09.2023 </w:t>
            </w:r>
            <w:r>
              <w:rPr>
                <w:color w:val="392c69"/>
                <w:sz w:val="24"/>
              </w:rPr>
              <w:t xml:space="preserve">N 143</w:t>
            </w:r>
            <w:r>
              <w:rPr>
                <w:color w:val="392c69"/>
                <w:sz w:val="24"/>
              </w:rPr>
              <w:t xml:space="preserve">,</w:t>
            </w:r>
            <w:r/>
          </w:p>
          <w:p>
            <w:pPr>
              <w:pStyle w:val="827"/>
              <w:jc w:val="center"/>
            </w:pPr>
            <w:r>
              <w:rPr>
                <w:color w:val="392c69"/>
                <w:sz w:val="24"/>
              </w:rPr>
              <w:t xml:space="preserve">от 25.09.2023 </w:t>
            </w:r>
            <w:r>
              <w:rPr>
                <w:color w:val="392c69"/>
                <w:sz w:val="24"/>
              </w:rPr>
              <w:t xml:space="preserve">N 146</w:t>
            </w:r>
            <w:r>
              <w:rPr>
                <w:color w:val="392c69"/>
                <w:sz w:val="24"/>
              </w:rPr>
              <w:t xml:space="preserve">, от 30.11.2023 </w:t>
            </w:r>
            <w:r>
              <w:rPr>
                <w:color w:val="392c69"/>
                <w:sz w:val="24"/>
              </w:rPr>
              <w:t xml:space="preserve">N 196</w:t>
            </w:r>
            <w:r>
              <w:rPr>
                <w:color w:val="392c69"/>
                <w:sz w:val="24"/>
              </w:rPr>
              <w:t xml:space="preserve">, от 14.12.2023 </w:t>
            </w:r>
            <w:r>
              <w:rPr>
                <w:color w:val="392c69"/>
                <w:sz w:val="24"/>
              </w:rPr>
              <w:t xml:space="preserve">N 202</w:t>
            </w:r>
            <w:r>
              <w:rPr>
                <w:color w:val="392c69"/>
                <w:sz w:val="24"/>
              </w:rPr>
              <w:t xml:space="preserve">,</w:t>
            </w:r>
            <w:r/>
          </w:p>
          <w:p>
            <w:pPr>
              <w:pStyle w:val="827"/>
              <w:jc w:val="center"/>
            </w:pPr>
            <w:r>
              <w:rPr>
                <w:color w:val="392c69"/>
                <w:sz w:val="24"/>
              </w:rPr>
              <w:t xml:space="preserve">от 15.02.2024 </w:t>
            </w:r>
            <w:r>
              <w:rPr>
                <w:color w:val="392c69"/>
                <w:sz w:val="24"/>
              </w:rPr>
              <w:t xml:space="preserve">N 16</w:t>
            </w:r>
            <w:r>
              <w:rPr>
                <w:color w:val="392c69"/>
                <w:sz w:val="24"/>
              </w:rPr>
              <w:t xml:space="preserve">, от 27.11.2024 </w:t>
            </w:r>
            <w:r>
              <w:rPr>
                <w:color w:val="392c69"/>
                <w:sz w:val="24"/>
              </w:rPr>
              <w:t xml:space="preserve">N 169</w:t>
            </w:r>
            <w:r>
              <w:rPr>
                <w:color w:val="392c69"/>
                <w:sz w:val="24"/>
              </w:rPr>
              <w:t xml:space="preserve">, от 29.01.2025 </w:t>
            </w:r>
            <w:r>
              <w:rPr>
                <w:color w:val="392c69"/>
                <w:sz w:val="24"/>
              </w:rPr>
              <w:t xml:space="preserve">N 11</w:t>
            </w:r>
            <w:r>
              <w:rPr>
                <w:color w:val="392c69"/>
                <w:sz w:val="24"/>
              </w:rPr>
              <w:t xml:space="preserve">,</w:t>
            </w:r>
            <w:r/>
          </w:p>
          <w:p>
            <w:pPr>
              <w:pStyle w:val="827"/>
              <w:jc w:val="center"/>
            </w:pPr>
            <w:r>
              <w:rPr>
                <w:color w:val="392c69"/>
                <w:sz w:val="24"/>
              </w:rPr>
              <w:t xml:space="preserve">от 18.02.2025 </w:t>
            </w:r>
            <w:r>
              <w:rPr>
                <w:color w:val="392c69"/>
                <w:sz w:val="24"/>
              </w:rPr>
              <w:t xml:space="preserve">N 23</w:t>
            </w:r>
            <w:r>
              <w:rPr>
                <w:color w:val="392c69"/>
                <w:sz w:val="24"/>
              </w:rPr>
              <w:t xml:space="preserve">, от 28.02.2025 </w:t>
            </w:r>
            <w:r>
              <w:rPr>
                <w:color w:val="392c69"/>
                <w:sz w:val="24"/>
              </w:rPr>
              <w:t xml:space="preserve">N 30</w:t>
            </w:r>
            <w:r>
              <w:rPr>
                <w:color w:val="392c69"/>
                <w:sz w:val="24"/>
              </w:rPr>
              <w:t xml:space="preserve">)</w:t>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соответствии с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абзацем четвертым пункта 1 статьи 78.1</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Бюджетного кодекса Российской Федерации,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постановлением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Правительства Росси</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йской Федерации от 22 февраля 2020 года N 203 "Об общих требованиях к нормативным правовым актам и муниципальным правовым актам, устанавливающим порядок определения объема и условия предоставления бюджетным и автономным учреждениям субсидий на иные цели",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постановлением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Правительства Удмуртской Республики от 3 июня 2020 года N 244 "О реализации постановления Правительства Российской Федерации от 22 февраля 2020 года N 203 "Об общих требованиях к нормативным правовым актам и мун</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иципальным правовым актам, устанавливающим порядок определения объема и условия предоставления бюджетным и автономным учреждениям субсидий на иные цели" и о признании утратившими силу некоторых постановлений Правительства Удмуртской Республики" приказываю:</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Утвердить прилагаемые </w:t>
      </w:r>
      <w:hyperlink w:tooltip="ПОРЯДОК" w:anchor="P40"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Порядок</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определения объема и условия предоставления субсидий на иные цели бюджетным и автономным учреждениям, подведомственным Министерству социальной политики и труда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Министр</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Т.Ю.ЧУРАКОВА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Утверждены</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Министерства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от 28 декабря 2020 г. N 379</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40" w:name="P40"/>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40"/>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ПОРЯДОК</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ОПРЕДЕЛЕНИЯ ОБЪЕМА И УСЛОВИЯ ПРЕДОСТАВЛЕНИЯ СУБСИДИЙ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НА ИНЫЕ ЦЕЛИ БЮДЖЕТНЫМ И АВТОНОМНЫМ УЧРЕЖДЕНИЯМ,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ПОДВЕДОМСТВЕННЫМ МИНИСТЕРСТВУ 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tbl>
      <w:tblPr>
        <w:tblW w:w="5000" w:type="pct"/>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ook w:val="04A0" w:firstRow="1" w:lastRow="0" w:firstColumn="1" w:lastColumn="0" w:noHBand="0" w:noVBand="1"/>
      </w:tblPr>
      <w:tblGrid>
        <w:gridCol w:w="60"/>
        <w:gridCol w:w="113"/>
        <w:gridCol w:w="9921"/>
        <w:gridCol w:w="113"/>
      </w:tblGrid>
      <w:tr>
        <w:tblPrEx/>
        <w:trPr/>
        <w:tc>
          <w:tcPr>
            <w:shd w:val="clear" w:color="auto" w:fill="ced3f1"/>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60"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113" w:type="dxa"/>
              <w:right w:w="0" w:type="dxa"/>
              <w:bottom w:w="113" w:type="dxa"/>
            </w:tcMar>
            <w:tcW w:w="0" w:type="auto"/>
            <w:textDirection w:val="lrTb"/>
            <w:noWrap w:val="false"/>
          </w:tcPr>
          <w:p>
            <w:pPr>
              <w:pStyle w:val="827"/>
              <w:jc w:val="center"/>
            </w:pPr>
            <w:r>
              <w:rPr>
                <w:color w:val="392c69"/>
                <w:sz w:val="24"/>
              </w:rPr>
              <w:t xml:space="preserve">Список изменяющих документов</w:t>
            </w:r>
            <w:r/>
          </w:p>
          <w:p>
            <w:pPr>
              <w:pStyle w:val="827"/>
              <w:jc w:val="center"/>
            </w:pPr>
            <w:r>
              <w:rPr>
                <w:color w:val="392c69"/>
                <w:sz w:val="24"/>
              </w:rPr>
              <w:t xml:space="preserve">(в ред. приказов Минсоцполитики УР от 24.05.2021 </w:t>
            </w:r>
            <w:r>
              <w:rPr>
                <w:color w:val="392c69"/>
                <w:sz w:val="24"/>
              </w:rPr>
              <w:t xml:space="preserve">N 130</w:t>
            </w:r>
            <w:r>
              <w:rPr>
                <w:color w:val="392c69"/>
                <w:sz w:val="24"/>
              </w:rPr>
              <w:t xml:space="preserve">,</w:t>
            </w:r>
            <w:r/>
          </w:p>
          <w:p>
            <w:pPr>
              <w:pStyle w:val="827"/>
              <w:jc w:val="center"/>
            </w:pPr>
            <w:r>
              <w:rPr>
                <w:color w:val="392c69"/>
                <w:sz w:val="24"/>
              </w:rPr>
              <w:t xml:space="preserve">от 19.07.2022 </w:t>
            </w:r>
            <w:r>
              <w:rPr>
                <w:color w:val="392c69"/>
                <w:sz w:val="24"/>
              </w:rPr>
              <w:t xml:space="preserve">N 137</w:t>
            </w:r>
            <w:r>
              <w:rPr>
                <w:color w:val="392c69"/>
                <w:sz w:val="24"/>
              </w:rPr>
              <w:t xml:space="preserve">, от 28.07.2022 </w:t>
            </w:r>
            <w:r>
              <w:rPr>
                <w:color w:val="392c69"/>
                <w:sz w:val="24"/>
              </w:rPr>
              <w:t xml:space="preserve">N 146</w:t>
            </w:r>
            <w:r>
              <w:rPr>
                <w:color w:val="392c69"/>
                <w:sz w:val="24"/>
              </w:rPr>
              <w:t xml:space="preserve">, от 11.10.2022 </w:t>
            </w:r>
            <w:r>
              <w:rPr>
                <w:color w:val="392c69"/>
                <w:sz w:val="24"/>
              </w:rPr>
              <w:t xml:space="preserve">N 185</w:t>
            </w:r>
            <w:r>
              <w:rPr>
                <w:color w:val="392c69"/>
                <w:sz w:val="24"/>
              </w:rPr>
              <w:t xml:space="preserve">,</w:t>
            </w:r>
            <w:r/>
          </w:p>
          <w:p>
            <w:pPr>
              <w:pStyle w:val="827"/>
              <w:jc w:val="center"/>
            </w:pPr>
            <w:r>
              <w:rPr>
                <w:color w:val="392c69"/>
                <w:sz w:val="24"/>
              </w:rPr>
              <w:t xml:space="preserve">от 24.10.2022 </w:t>
            </w:r>
            <w:r>
              <w:rPr>
                <w:color w:val="392c69"/>
                <w:sz w:val="24"/>
              </w:rPr>
              <w:t xml:space="preserve">N 192</w:t>
            </w:r>
            <w:r>
              <w:rPr>
                <w:color w:val="392c69"/>
                <w:sz w:val="24"/>
              </w:rPr>
              <w:t xml:space="preserve">, от 17.04.2023 </w:t>
            </w:r>
            <w:r>
              <w:rPr>
                <w:color w:val="392c69"/>
                <w:sz w:val="24"/>
              </w:rPr>
              <w:t xml:space="preserve">N 67</w:t>
            </w:r>
            <w:r>
              <w:rPr>
                <w:color w:val="392c69"/>
                <w:sz w:val="24"/>
              </w:rPr>
              <w:t xml:space="preserve">, от 20.09.2023 </w:t>
            </w:r>
            <w:r>
              <w:rPr>
                <w:color w:val="392c69"/>
                <w:sz w:val="24"/>
              </w:rPr>
              <w:t xml:space="preserve">N 143</w:t>
            </w:r>
            <w:r>
              <w:rPr>
                <w:color w:val="392c69"/>
                <w:sz w:val="24"/>
              </w:rPr>
              <w:t xml:space="preserve">,</w:t>
            </w:r>
            <w:r/>
          </w:p>
          <w:p>
            <w:pPr>
              <w:pStyle w:val="827"/>
              <w:jc w:val="center"/>
            </w:pPr>
            <w:r>
              <w:rPr>
                <w:color w:val="392c69"/>
                <w:sz w:val="24"/>
              </w:rPr>
              <w:t xml:space="preserve">от 30.11.2023 </w:t>
            </w:r>
            <w:r>
              <w:rPr>
                <w:color w:val="392c69"/>
                <w:sz w:val="24"/>
              </w:rPr>
              <w:t xml:space="preserve">N 196</w:t>
            </w:r>
            <w:r>
              <w:rPr>
                <w:color w:val="392c69"/>
                <w:sz w:val="24"/>
              </w:rPr>
              <w:t xml:space="preserve">, от 14.12.2023 </w:t>
            </w:r>
            <w:r>
              <w:rPr>
                <w:color w:val="392c69"/>
                <w:sz w:val="24"/>
              </w:rPr>
              <w:t xml:space="preserve">N 202</w:t>
            </w:r>
            <w:r>
              <w:rPr>
                <w:color w:val="392c69"/>
                <w:sz w:val="24"/>
              </w:rPr>
              <w:t xml:space="preserve">, от 15.02.2024 </w:t>
            </w:r>
            <w:r>
              <w:rPr>
                <w:color w:val="392c69"/>
                <w:sz w:val="24"/>
              </w:rPr>
              <w:t xml:space="preserve">N 16</w:t>
            </w:r>
            <w:r>
              <w:rPr>
                <w:color w:val="392c69"/>
                <w:sz w:val="24"/>
              </w:rPr>
              <w:t xml:space="preserve">,</w:t>
            </w:r>
            <w:r/>
          </w:p>
          <w:p>
            <w:pPr>
              <w:pStyle w:val="827"/>
              <w:jc w:val="center"/>
            </w:pPr>
            <w:r>
              <w:rPr>
                <w:color w:val="392c69"/>
                <w:sz w:val="24"/>
              </w:rPr>
              <w:t xml:space="preserve">от 27.11.2024 </w:t>
            </w:r>
            <w:r>
              <w:rPr>
                <w:color w:val="392c69"/>
                <w:sz w:val="24"/>
              </w:rPr>
              <w:t xml:space="preserve">N 169</w:t>
            </w:r>
            <w:r>
              <w:rPr>
                <w:color w:val="392c69"/>
                <w:sz w:val="24"/>
              </w:rPr>
              <w:t xml:space="preserve">, от 29.01.2025 </w:t>
            </w:r>
            <w:r>
              <w:rPr>
                <w:color w:val="392c69"/>
                <w:sz w:val="24"/>
              </w:rPr>
              <w:t xml:space="preserve">N 11</w:t>
            </w:r>
            <w:r>
              <w:rPr>
                <w:color w:val="392c69"/>
                <w:sz w:val="24"/>
              </w:rPr>
              <w:t xml:space="preserve">, от 18.02.2025 </w:t>
            </w:r>
            <w:r>
              <w:rPr>
                <w:color w:val="392c69"/>
                <w:sz w:val="24"/>
              </w:rPr>
              <w:t xml:space="preserve">N 23</w:t>
            </w:r>
            <w:r>
              <w:rPr>
                <w:color w:val="392c69"/>
                <w:sz w:val="24"/>
              </w:rPr>
              <w:t xml:space="preserve">,</w:t>
            </w:r>
            <w:r/>
          </w:p>
          <w:p>
            <w:pPr>
              <w:pStyle w:val="827"/>
              <w:jc w:val="center"/>
            </w:pPr>
            <w:r>
              <w:rPr>
                <w:color w:val="392c69"/>
                <w:sz w:val="24"/>
              </w:rPr>
              <w:t xml:space="preserve">от 28.02.2025 </w:t>
            </w:r>
            <w:r>
              <w:rPr>
                <w:color w:val="392c69"/>
                <w:sz w:val="24"/>
              </w:rPr>
              <w:t xml:space="preserve">N 30</w:t>
            </w:r>
            <w:r>
              <w:rPr>
                <w:color w:val="392c69"/>
                <w:sz w:val="24"/>
              </w:rPr>
              <w:t xml:space="preserve">)</w:t>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I. Общие положения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Настоящий Порядок устанавливает процедуру определения объема и</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условия предоставления субсидий из бюджета Удмуртской Республики бюджетным и автономным учреждениям, подведомственным Министерству социальной политики и труда Удмуртской Республики, на иные цели (далее соответственно - субсидии, учреждения, Министерство).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56" w:name="P56"/>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56"/>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Субс</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идии предоставляются учреждениям, в отношении которых Министерство осуществляет функции и полномочия учредителя, в пределах лимитов бюджетных обязательств, доведенных Министерству как получателю бюджетных средств Удмуртской Республики на цели, указанные в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приложении 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2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27.11.2024 N 169)</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Главным распорядителем средств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бюджета Удмуртской Республики, до которого в соответствии с бюджетным законодательством Российской Федерации как до получателя бюджетных средств Удмуртской Республики доведены лимиты бюджетных обязательств на предоставление субсидий, является Министерство.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II. Условия и порядок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62" w:name="P62"/>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62"/>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4. Управление по экономике и финансам Министерства (далее - управление) информирует структурное подразделение Министерства, курирующее вопросы, в целях решения которых предоставляется субсидия (далее - структурное подразделение) о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предусмотренных Министерству лимитах бюджетных обязательств в день их доведения до Министерства либо в день получения Министерством распоряжения Правительства Удмуртской Республики об изменении бюджетных ассигнований, предусмотренных Министерству (далее -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распоряжение), а структурное подразделение в течение 5 рабочих дней со дня доведения лимитов бюджетных обязательств до Министерства либо со дня получения Министерством распоряжения осуществляет подготовку уведомления о начале приема заявок на предоставлени</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е субсидии (далее - уведомление), в котором указываются цель предоставления субсидии и сроки представления документов на получение субсидии. Уведомление направляется в учреждение письмом Министерства посредством СЭД "Директум" и (или) по электронной почте.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Срок представления документов учреждением, установленный в уведомлении, не может быть менее 10 рабочих дней со дня направления уведомления учреждению.</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4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4.1. Структурное подразделение осуществляет следующие полномочия: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сбор заявок на предоставление субсидии в соответствии с </w:t>
      </w:r>
      <w:hyperlink w:tooltip="5. Для получения и определения объема субсидии учреждение представляет в Министерство заявку на предоставление субсидии (далее - заявка) по форме, установленной приложением 4." w:anchor="P7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регистрация заявок на предоставление субсидии в день их поступления в Министерство;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подготовка приказа Министерства на предоставление субсидии либо об отказе в предоставлении субсидии в соответствии с </w:t>
      </w:r>
      <w:hyperlink w:tooltip="7. Решение о предоставлении либо об отказе в предоставлении субсидии принимается Министерством в течение 20 рабочих дней со дня регистрации заявки и оформляется приказом Министерства. Приказ направляется в учреждение в течение 5 рабочих дней со дня его подписания посредством СЭД &quot;Директум&quot; и (или) по электронной почте." w:anchor="P9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7</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и доведение его до учреждения;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сбор отчетов согласно </w:t>
      </w:r>
      <w:hyperlink w:tooltip="21. Учреждение представляет в структурное подразделение следующие отчеты:" w:anchor="P178"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пункту 21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контроль за соблюдением учреждением цели и условий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4.1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72" w:name="P72"/>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72"/>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5. Для получения и определения объема субсидии учреждение представляет в Министерство </w:t>
      </w:r>
      <w:hyperlink w:tooltip="                                  Заявка" w:anchor="P417"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заявку</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 предоставление субсидии (далее - заявка) по форме, установленной приложением 4.</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 заявке прилагаются следующие документы:</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74" w:name="P74"/>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74"/>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пояснительная записка с расчетом-обоснованием суммы субсидии, необходимой для осуществления соответствующих расходов, в том числе предварительна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я смета на выполнение соответствующих работ (оказание услуг), проведение мероприятий, приобретение имущества (за исключением недвижимого имущества), а также предложения поставщиков (подрядчиков, исполнителей), статистические данные и (или) иная информация;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перечень объектов, подлежащих ремонту, акт обследования таких объектов или дефектная ведомость, предварительная смета расходов в случае, если в рамках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целей</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предоставления субсидии, установленных приложением 1, запланировано проведение ремонта;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программа мероприятий в случае, если в рамках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целей</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предоставления субсидии, установленных приложением 1, запланировано проведение мероприятий, в том числе конференций, симпозиумов, выставок;</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4) информация о планируемом к приобретению имуществе в случае, если в рамках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целей</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предоставления субсидии, установленных приложением 1, запланировано приобретение имущества;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5) информация о количестве физических лиц (среднегодовом количестве), являющихся получателями выплат, и видах таких выплат в случае, если в рамках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целей</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предоставления субсидии, установленных приложением 1, запланировано осуществление указанных выплат;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79" w:name="P79"/>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79"/>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6) справка налогового органа об исполнении налогоплательщиком (плательщиком сбора, плательщиком страховых взносов, налоговым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агентом) обязанности по уплате налогов, сборов, страховых взносов, пеней, штрафов, процентов на дату, предшествующую не более чем на 10 рабочих дней дате направления заявки в Министерство, подтверждающая соответствие учреждения требованию, установленному </w:t>
      </w:r>
      <w:hyperlink w:tooltip="1) отсутствие у учреждения на дату, установленную подпунктом 6 пункта 5 настоящего Порядка,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w:anchor="P15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подпунктом 1 пункта 17</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80" w:name="P80"/>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80"/>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7) </w:t>
      </w:r>
      <w:hyperlink w:tooltip="                                  СПРАВКА" w:anchor="P458"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справка</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учреждения на дату направления заявки в Министерство по форме согласно приложению 5, подтверждающая соответствие учреждения требованию, установленному </w:t>
      </w:r>
      <w:hyperlink w:tooltip="2) отсутствие у учреждения на дату, установленную подпунктом 7 пункта 5 настоящего Порядка, просроченной задолженности по возврату в бюджет Удмуртской Республики субсидий, бюджетных инвестиций, представленных в том числе в соответствии с иными правовыми актами, за исключением случаев предоставления субсидии, на осуществление мероприятий по реорганизации или ликвидации учреждения, предотвращение аварийной (чрезвычайной) ситуации, ликвидацию последствий и осуществление восстановительных работ в случае наст..." w:anchor="P156"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подпунктом 2 пункта 17</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8) копии документов, подтверждающих фактически понесенные учрежде</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нием затраты (договоры (соглашения), счета, акты приема-передачи, акты выполненных работ (оказанных услуг), приходные кассовые ордера, счета-фактуры, платежные документы и другие документы) (в случае, если запрашивается субсидия в целях возмещения затрат).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Если иное не установлено настоящим Порядком, документы на предоставление субсидии представляются в Министерство в подлинном экземпляре.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Представляемые копии документов должны быть заверены подписью руководителя учреждения или его уполномоченного представителя при подтверждении полномочий доверенностью и скреплены печатью.</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5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85" w:name="P85"/>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85"/>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6. Расчет-обоснование суммы субсидии, предусмотренный </w:t>
      </w:r>
      <w:hyperlink w:tooltip="1) пояснительная записка с расчетом-обоснованием суммы субсидии, необходимой для осуществления соответствующих расходов, в том числе предварительная смета на выполнение соответствующих работ (оказание услуг), проведение мероприятий, приобретение имущества (за исключением недвижимого имущества), а также предложения поставщиков (подрядчиков, исполнителей), статистические данные и (или) иная информация;" w:anchor="P74"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подпунктом 1 пункта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формируется учреждением с учетом требований, установленных нормат</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ивными правовыми актами, требованиями технических регламентов, положениями стандартов, сводами правил, порядками, правоустанавливающими документами, актами и (или) предписаниями контрольных (надзорных) органов в зависимости от цели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Расчет-обоснование суммы субсидии подтверждается: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не менее чем тремя коммерческими предложениями поставщиков (подрядчиков, исполнителей), запрошенными учреждением (в случаях, если стоимость определяется методом сопоставимых рыночных цен).</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Коммерческие предложения поставщиков (подрядчиков, исполнителей) должны содержать: цену единицы товара, работы, услуги и общую цену договора (контракта) на условиях, указанных в запросе учреждения, срок действия предлагаемой цены.</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случае если на запрос учреждения получено менее трех коммерческих предложений, учреждением осуществляется сбор и анализ общедоступной ценовой информации (реклама, каталоги, статистическая отчетность и другое) и (или) проводится 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нализ ранее исполненных аналогичных договоров (контрактов), по которым не взыскивались неустойки (штрафы, пени) в связи с неисполнением или ненадлежащим исполнением обязательств, предусмотренных этими договорами (контрактами), в течение последних трех лет;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калькуляцией статей планируемых расходов, техническими характеристиками объекта закупки и иными статистическими данными (в случаях, если стоимость определяется затратным методом).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6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92" w:name="P92"/>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92"/>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7. Решение о предоставлении либо об отказе в предоставлении субс</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идии принимается Министерством в течение 20 рабочих дней со дня регистрации заявки и оформляется приказом Министерства. Приказ направляется в учреждение в течение 5 рабочих дней со дня его подписания посредством СЭД "Директум" и (или) по электронной почте.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 отсутствии оснований, установленных </w:t>
      </w:r>
      <w:hyperlink w:tooltip="8. Основаниями для отказа в предоставлении субсидии являются:" w:anchor="P9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8</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принимается решение о предоставлении субсидии, в ином случае принимается решение об отказе в предоставлении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7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95" w:name="P95"/>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95"/>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8. Основаниями для отказа в предоставлении субсидии являются: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96" w:name="P96"/>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96"/>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несоответствие заявки и представленных документов требованиям, определенным </w:t>
      </w:r>
      <w:hyperlink w:tooltip="5. Для получения и определения объема субсидии учреждение представляет в Министерство заявку на предоставление субсидии (далее - заявка) по форме, установленной приложением 4." w:anchor="P7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пунктами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w:t>
      </w:r>
      <w:hyperlink w:tooltip="6. Расчет-обоснование суммы субсидии, предусмотренный подпунктом 1 пункта 5 настоящего Порядка, формируется учреждением с учетом требований, установленных нормативными правовыми актами, требованиями технических регламентов, положениями стандартов, сводами правил, порядками, правоустанавливающими документами, актами и (или) предписаниями контрольных (надзорных) органов в зависимости от цели предоставления субсидии." w:anchor="P8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6</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или непредставление (представление не в полном объеме) указанных заявки и документов;</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97" w:name="P97"/>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97"/>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недостоверность информации, содержащейся в документах, представленных учреждением;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представление заявки и документов с нарушением срока, установленного </w:t>
      </w:r>
      <w:hyperlink w:tooltip="4. Управление по экономике и финансам Министерства (далее - управление) информирует структурное подразделение Министерства, курирующее вопросы, в целях решения которых предоставляется субсидия (далее - структурное подразделение) о предусмотренных Министерству лимитах бюджетных обязательств в день их доведения до Министерства либо в день получения Министерством распоряжения Правительства Удмуртской Республики об изменении бюджетных ассигнований, предусмотренных Министерству (далее - распоряжение), а струк..." w:anchor="P6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4</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99" w:name="P99"/>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99"/>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4) несоответствие учреждения требованиям, установленным </w:t>
      </w:r>
      <w:hyperlink w:tooltip="17. Субсидия предоставляется учреждению, соответствующему следующим требованиям:" w:anchor="P154"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17</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00" w:name="P100"/>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00"/>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5) несоответствие расходов учреждения, указанных в заявке на предоставление субсидии,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целям</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предоставления субсидии, указанным в приложении 1.</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5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9. В случае отказа в предоставлении субсидии по основаниям, указанным в </w:t>
      </w:r>
      <w:hyperlink w:tooltip="1) несоответствие заявки и представленных документов требованиям, определенным пунктами 5, 6 настоящего Порядка, или непредставление (представление не в полном объеме) указанных заявки и документов;" w:anchor="P96"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подпунктах 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w:t>
      </w:r>
      <w:hyperlink w:tooltip="2) недостоверность информации, содержащейся в документах, представленных учреждением;" w:anchor="P97"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2</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w:t>
      </w:r>
      <w:hyperlink w:tooltip="4) несоответствие учреждения требованиям, установленным пунктом 17 настоящего Порядка;" w:anchor="P99"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4</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и </w:t>
      </w:r>
      <w:hyperlink w:tooltip="5) несоответствие расходов учреждения, указанных в заявке на предоставление субсидии, целям предоставления субсидии, указанным в приложении 1." w:anchor="P100"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5 пункта 8</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учреждение вправе повторно в пределах срока, установленного уведомлением, представить в Министерство документы, предусмотренные </w:t>
      </w:r>
      <w:hyperlink w:tooltip="5. Для получения и определения объема субсидии учреждение представляет в Министерство заявку на предоставление субсидии (далее - заявка) по форме, установленной приложением 4." w:anchor="P7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при условии устранения замечаний, явившихся основанием для отказа в предоставлении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Рассмотрение Министерством повторно представленных учреждением документов осуществляется в порядке, предусмотренном </w:t>
      </w:r>
      <w:hyperlink w:tooltip="7. Решение о предоставлении либо об отказе в предоставлении субсидии принимается Министерством в течение 20 рабочих дней со дня регистрации заявки и оформляется приказом Министерства. Приказ направляется в учреждение в течение 5 рабочих дней со дня его подписания посредством СЭД &quot;Директум&quot; и (или) по электронной почте." w:anchor="P9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7</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9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10. Определение размера субсидии учреждениям осуществляется структурным подразделением Министерства совместно с управлением.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10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11. Размер субсидии рассчитывается по формуле: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 = К1 x Ц1 + К2 x Ц2 +... + KN x ЦN,</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где: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 - размер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К1... KN - количественное значение потребности на мероприятие (приобретение товаров, работ, услуг) (с 1-го по N-е) в текущем финансовом году;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Ц1... KN - стоимость единицы потребности, предоставляемой на реализацию мероприятия (приобретение товаров, работ, услуг) (с 1-го по N-е) в текущем финансовом году, определяемая одним из следующих методов:</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методом сопоставимых рыночных цен (анализа рынка);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нормативным методом;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тарифным методом;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4) проектно-сметным методом;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5) затратным методом.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11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12. В случае представления субсидии из резервного фонда Правительства Удмуртской Республики субсидия представляется в размере, определенном правовым актом Главы Удмуртской Республики или Правительства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13. Предоставление субсидии учреждению осуществляется Министерством в соответствии со сводной бюджетной росписью, в пределах бюджетных ассигнований, предусмотренных на указанные в </w:t>
      </w:r>
      <w:hyperlink w:tooltip="2. Субсидии предоставляются учреждениям, в отношении которых Министерство осуществляет функции и полномочия учредителя, в пределах лимитов бюджетных обязательств, доведенных Министерству как получателю бюджетных средств Удмуртской Республики на цели, указанные в приложении 1." w:anchor="P56"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пункте 2</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цели Законом Удмуртской Республики о бюджете Удмуртской Республики на очередной финансовый год и плановый период.</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14. Операции со средствами субсидий, предоставленных учреждениям, учитываются на отдельных лицевых счетах учреждений, открытых в Министерстве финансов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25" w:name="P125"/>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25"/>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15. В случае принятия решения о предоставлении субсидии управление в течение 5 рабочих дней со дня издания приказа о предоставлении субсидии направляет учреждению проект соглашения о предоставлении субсидии (далее - соглашение)</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в соответствии с типовой формой, установленной Министерством финансов Удмуртской Республики, посредством государственной информационной системы "Автоматизированная информационная система управления бюджетным процессом Удмуртской Республики" (далее - АИС).</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случае принятия решения о предоставлении субсидии, и</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сточником финансового обеспечения которой являются межбюджетные трансферты, имеющие целевое назначение, из федерального бюджета бюджету Удмуртской Республики управление в течение 5 рабочих дней со дня издания приказа о предоставлении субсидии направляет уч</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реждению проект соглашения в соответствии с типовой формой, установленной Министерством финансов Российской Федерации, посредством государственной интегрированной информационной системы управления общественными финансами "Электронный бюджет" (далее - ГИС).</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случае неподписания учреждением соглашения в течение 10 рабочих дней со дня получения его проекта учреждение считается отказавшимся от получения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15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18.02.2025 N 23)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16. В соглашении должны быть определены:</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цели предоставления субсидий с указанием наименования национального проекта (программы), в том числе федерального проекта, входящего в состав соответствующего националь</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ного проекта (программы), или регионального проекта, обеспечивающего достижение целей, показателей и результатов федерального проекта, государственной программы, в случае, если субсидии предоставляются в целях реализации соответствующих программ, проектов;</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1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значения результатов предоставления субсидии, которые должны б</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ыть конкретными, измеримыми и соответствовать результатам федеральных или региональных проектов (программ), государственных программ (в случае, если субсидия предоставляется в целях реализации таких программ, проектов), и показателей, необходимых для дости</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жения результатов предоставления субсидии, включая значения показателей в части материальных и нематериальных объектов и (или) услуг, планируемых к получению при достижении результатов соответствующих программ, проектов (при возможности такой детализации);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2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2.1) план мероприятий по достижению результатов предоставления субсидии (составляется в порядке и по форме, установленным Министерством финансов Российской Федерации);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2.1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18.02.2025 N 23)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размер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4) сроки (график) перечисления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5) сроки представления отчетности;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6) порядок и сроки возврата сумм субсидии в случае несоблюдения учреждением целей, условий и порядка предоставления субсидий, определенных соглашением;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7) основания и порядок внесения изменений в соглашение, в том числе в случае уменьшения Министерству как получателю бюджетных средств ранее доведенных лимитов бюджетных обязательств на предоставление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8) основания для досрочного прекращения соглашения по решению органа-учредителя в одностороннем порядке, в том числе в связи с:</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реорганизацией (за исключением реорганизации в форме присоединения) или ликвидацией учреждения;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нарушением учреждением целей и условий предоставления субсидии, установленных правовым актом и (или) соглашением;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абзац утратил силу с 20.09.2023. -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8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24.05.2021 N 130)</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8.1) запрет на расторжение соглашения учреждением в одностороннем порядке;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8.1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9) утратил силу. -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10) расчет и (или) финансово-экономическое обоснование размера субсидии (смета), являющиеся неотъемлемой частью соглашения;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10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24.05.2021 N 130)</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11) иные положения (при необходимости).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11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54" w:name="P154"/>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54"/>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17. Субсидия предоставляется учреждению, соответствующему следующим требованиям: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55" w:name="P155"/>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55"/>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отсутствие у учреждения на дату, установленную </w:t>
      </w:r>
      <w:hyperlink w:tooltip="6) справка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на дату, предшествующую не более чем на 10 рабочих дней дате направления заявки в Министерство, подтверждающая соответствие учреждения требованию, установленному подпунктом 1 пункта 17 настоящего Порядка;" w:anchor="P79"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подпунктом 6 пункта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56" w:name="P156"/>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56"/>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отсутствие у учреждения на дату, установленную </w:t>
      </w:r>
      <w:hyperlink w:tooltip="7) справка учреждения на дату направления заявки в Министерство по форме согласно приложению 5, подтверждающая соответствие учреждения требованию, установленному подпунктом 2 пункта 17 настоящего Порядка;" w:anchor="P80"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подпунктом 7 пункта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просроченной задолженности по возврату в бюджет Удмуртской Республики субсидий, бюджетных инвестиций, представленных в том числе в соответствии с иными правовыми актами, за исключением случаев предоставления</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субсидии, на осуществление мероприятий по реорганизации или ликвидации учреждения, предотвращение аварийной (чрезвычайной) ситуации, ликвидацию последствий и осуществление восстановительных работ в случае наступления аварийной (чрезвычайной) ситуации, пог</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ашение задолженности по судебным актам, вступившим в законную силу, исполнительным документам, а также иных случаев, установленных федеральными законами, нормативными правовыми актами Правительства Российской Федерации, Правительства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17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18. Результаты предоставления субсидии указаны в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приложении 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ред. приказов Минсоцполитики УР от 19.07.2022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N 137</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от 20.09.2023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N 143</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19. Санкционирование оплаты денеж</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ных обязательств учреждения, источником финансового обеспечения которых является субсидия, осуществляется в порядке, установленном Министерством финансов Удмуртской Республики. Субсидии перечисляются в соответствии с графиком, предусмотренным в соглашении.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19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24.05.2021 N 130)</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20. Утратил силу. -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20.1. При изменении цели, размера, срока или иных условий предоставленной субсидии вносятся изменения в приказ Министерства о предоставлении субсидии с последующим внесением изменений в соглашение путем заключения дополнительного соглашения к нему.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Дополнительные соглашения к соглашению, предусматривающие внесение в него изменений или его расторжение, заключаются в порядке, предусмотренном </w:t>
      </w:r>
      <w:hyperlink w:tooltip="15. В случае принятия решения о предоставлении субсидии управление в течение 5 рабочих дней со дня издания приказа о предоставлении субсидии направляет учреждению проект соглашения о предоставлении субсидии (далее - соглашение) в соответствии с типовой формой, установленной Министерством финансов Удмуртской Республики, посредством государственной информационной системы &quot;Автоматизированная информационная система управления бюджетным процессом Удмуртской Республики&quot; (далее - АИС)." w:anchor="P12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15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18.02.2025 N 23)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20.1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20.2. Министерство вправе изменить размер предоставленной субсидии в случаях:</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увеличения или уменьшения объема бюджетных ассигнований, предусмотренных Законом Удмуртской Республики о бюджете Удмуртской Республики на текущий финансовый год и плановый период;</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выявления необходимости перераспределения объемов субсидии между учреждениями;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выявления невозможности осуществления расходов на предусмотренные цели в полном объеме;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экономии бюджетных средств при условии выполнения значений результатов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выявления дополнительной потребности учреждения в финансировании иных </w:t>
      </w:r>
      <w:hyperlink w:tooltip="ЦЕЛИ" w:anchor="P235"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целей</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предусмотренных приложением 1, при наличии соответствующих бюджетных ассигнований, предусмотренных Законом Удмуртской Республики о бюджете Удмуртской Республики на текущий финансовый год и плановый период (далее - дополнительная потребность).</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случае выявления дополнительной потребности учреждение вправе обращаться в Министерство с предложением об изменении объема предоставляемых субсидий с представлением документов, указанных в </w:t>
      </w:r>
      <w:hyperlink w:tooltip="5. Для получения и определения объема субсидии учреждение представляет в Министерство заявку на предоставление субсидии (далее - заявка) по форме, установленной приложением 4." w:anchor="P7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пункте 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20.2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III. Требования к отчетности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78" w:name="P178"/>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78"/>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21. Учреждение представляет в структурное подразделение следующие отчеты:</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79" w:name="P179"/>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79"/>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отчет об осуществлении расходов, источником финансового обеспечения которых является субсидия (ежеквартальный, годовой) с приложением заверенных руководителем учреждения копий первичных документов, подтверждающих целевое расходование средств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1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81" w:name="P181"/>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81"/>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отчет о достижении результатов предоставления субсидии (ежеквартальный, годовой);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(пп. 2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20.09.2023 N 143)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83" w:name="P183"/>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83"/>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отчет о реализации плана мероприятий по достижению результатов предоставления субсидии (оперативный, ежеквартальный, годовой).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18.02.2025 N 23)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21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22. Отчеты, предусмотренные </w:t>
      </w:r>
      <w:hyperlink w:tooltip="1) отчет об осуществлении расходов, источником финансового обеспечения которых является субсидия (ежеквартальный, годовой) с приложением заверенных руководителем учреждения копий первичных документов, подтверждающих целевое расходование средств субсидии;" w:anchor="P179"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подпунктами 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и </w:t>
      </w:r>
      <w:hyperlink w:tooltip="2) отчет о достижении результатов предоставления субсидии (ежеквартальный, годовой);" w:anchor="P181"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2 пункта 21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представляются по типовым формам, установленным Министерством финансов Удмуртской Республики, не позднее 5 рабочего дня месяца, следующего за отчетным периодом.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Отчеты составляются на 1 число месяца, следующего за отчетным периодом, и нарастающим итогом с начала года.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22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18.02.2025 N 23)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23. Отчет, предусмотренный </w:t>
      </w:r>
      <w:hyperlink w:tooltip="3) отчет о реализации плана мероприятий по достижению результатов предоставления субсидии (оперативный, ежеквартальный, годовой)." w:anchor="P183"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подпунктом 3 пункта 21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представляется по форме, установленной Министерством финансов Российской Федерации, в следующие сроки: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ежеквартальный, годовой - составляется на 1 число и не позднее 5 рабочего дня месяца, следующего за отчетным периодом;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оперативный - не позднее 10 рабочего дня после достижения конечного значения результата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23 в ред.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18.02.2025 N 23)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93" w:name="P193"/>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93"/>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24. Министерство вправе установить в соглашении дополнительные формы предоставления учреждением отчетности и сроки их предоставления.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IV. Порядок осуществления контроля за соблюдением целей,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условий и порядка предоставления субсидии и ответственность</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за их несоблюдение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199" w:name="P199"/>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199"/>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25. Не использованный в текуще</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 финансовом году остаток средств субсидии, образовавшийся в результате экономии по итогам осуществления закупок товаров, работ, услуг, подлежит взысканию в бюджет Удмуртской Республики в порядке, установленном Министерством финансов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26. Министерство, Министерство финансов Удмуртской Республики и Государственный контрольный комитет Удмуртской Республики осуществляют обязательную проверку соблюдения условий и целей предоставления целевых субсидий.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Учреждение обязано представлять по запросу Министерства,</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Министерства финансов Удмуртской Республики и Государственного контрольного комитета Удмуртской Республики в установленные ими сроки информацию и документы, необходимые для проведения проверок исполнения условий соглашения или иных контрольных документов.</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202" w:name="P202"/>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202"/>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27. В случае несоблюдения учреждением целей и условий, установленных при предоставлении субсидии, выявленного по результатам проверок, а также в случае непредставления учреждением отчетов, предусмотренных </w:t>
      </w:r>
      <w:hyperlink w:tooltip="21. Учреждение представляет в структурное подразделение следующие отчеты:" w:anchor="P178"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пунктами 21</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 </w:t>
      </w:r>
      <w:hyperlink w:tooltip="24. Министерство вправе установить в соглашении дополнительные формы предоставления учреждением отчетности и сроки их предоставления." w:anchor="P193"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24</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 субсидия подлежит возврату в бюджет Удмуртской Республики в следующем порядке: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Министерство в течение 10 рабочих дней со дня обнаружения соответствующего факта направляет учреждению письменное уведомление о возврате субсидии с указанием ее суммы и реквизитов для перечисления;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учреждение в течение 5 рабочих дней со дня получения письменного уведомления обязано перечислить указанную в нем сумму субсидии в бюджет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 в случае неперечисления средств в указанный срок Министерство принимает меры принудительного их взыскания в порядке, установленном законодательством Российской Федерации.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27.1. Министерство осуществляет мониторинг дости</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жения значений результатов предоставления субсидии и событий, отражающих факт завершения соответствующего мероприятия по получению результата предоставления субсидии (контрольная точка), в порядке, установленном Министерством финансов Российской Федерации.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27.1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29.01.2025 N 11)</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28. В случае установления Министерством фактов недостижения результатов предоставлен</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ия субсидии, соглашение расторгается Министерством в одностороннем порядке, а средства в объеме, пропорциональном величине недостижения значений результатов предоставления субсидии, подлежат возврату в бюджет Удмуртской Республики в порядке, установленном </w:t>
      </w:r>
      <w:hyperlink w:tooltip="27. В случае несоблюдения учреждением целей и условий, установленных при предоставлении субсидии, выявленного по результатам проверок, а также в случае непредставления учреждением отчетов, предусмотренных пунктами 21 - 24 настоящего Порядка, субсидия подлежит возврату в бюджет Удмуртской Республики в следующем порядке:" w:anchor="P202"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пунктом 27</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Порядка.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209" w:name="P209"/>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209"/>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29. Не использованные по состоянию на 1 января текущего финансового года остатки субсидии, за исключением остатка субсидии, указанного в </w:t>
      </w:r>
      <w:hyperlink w:tooltip="25. Не использованный в текущем финансовом году остаток средств субсидии, образовавшийся в результате экономии по итогам осуществления закупок товаров, работ, услуг, подлежит взысканию в бюджет Удмуртской Республики в порядке, установленном Министерством финансов Удмуртской Республики." w:anchor="P199"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пункте 25</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Пор</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ядка, могут быть использованы учреждением в текущем финансовом году на те же цели при принятии Министерством до 1 марта текущего финансового года решения о наличии потребности в остатках субсидии (далее - решение о наличии потребности в остатках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Решение о наличии потребности в остатках субсидии в размере, не превышающем размер неисполненных денежных обязательств учреждений, принимается на основе обязательств:</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1) принятых до начала текущего финансового года;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2) подлежащих принятию в текущем финансовом году, в случае размещения до 1 января текущего финансового года извещения об осуществлении закупки товаров, работ, услуг в единой информационной системе в сфере закупок либо направления приглашения п</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ринять участие в определении поставщика (подрядчика, исполнителя), проектов контрактов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213" w:name="P213"/>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213"/>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30. Министерство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вправе принять решение об использовании в текущем финансовом году поступлений от возврата ранее произведенных учреждением выплат, источником финансового обеспечения которых является субсидия, для достижения целей, установленных при предоставлении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Учреждение обязано в течение 2 рабочих дней уведомить Министерство о поступлении средств от возврата ранее произведенных учреждением выплат.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Решение об использовании в текущем финансовом году поступлений от возврата ранее произведенных учреждением выплат, источником финансового обеспечения кот</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орых является субсидия, для достижения целей, установленных при предоставлении субсидии, Министерство принимает в течение 10 рабочих дней со дня поступления от учреждения уведомления о поступлении средств от возврата ранее произведенных учреждением выплат.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В случае если Министерством не принято решение, указанное в </w:t>
      </w:r>
      <w:hyperlink w:tooltip="30. Министерство вправе принять решение об использовании в текущем финансовом году поступлений от возврата ранее произведенных учреждением выплат, источником финансового обеспечения которых является субсидия, для достижения целей, установленных при предоставлении субсидии." w:anchor="P213"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абзаце первом</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настоящего пункт</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а, учреждение в течение 5 рабочих дней со дня получения письменного уведомления обязано перечислить в бюджет Удмуртской Республики поступления от возврата ранее произведенных учреждением выплат, источником финансового обеспечения которых является субсидия.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30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24.05.2021 N 130)</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31. Для принятия Министерством решений, предусмотренных </w:t>
      </w:r>
      <w:hyperlink w:tooltip="29. Не использованные по состоянию на 1 января текущего финансового года остатки субсидии, за исключением остатка субсидии, указанного в пункте 25 настоящего Порядка, могут быть использованы учреждением в текущем финансовом году на те же цели при принятии Министерством до 1 марта текущего финансового года решения о наличии потребности в остатках субсидии (далее - решение о наличии потребности в остатках субсидии)." w:anchor="P209"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пунктами 29</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и </w:t>
      </w:r>
      <w:hyperlink w:tooltip="30. Министерство вправе принять решение об использовании в текущем финансовом году поступлений от возврата ранее произведенных учреждением выплат, источником финансового обеспечения которых является субсидия, для достижения целей, установленных при предоставлении субсидии." w:anchor="P213" w:history="1">
        <w:r>
          <w:rPr>
            <w:rFonts w:ascii="Times New Roman" w:hAnsi="Times New Roman" w:eastAsia="Times New Roman" w:cs="Times New Roman"/>
            <w:b w:val="0"/>
            <w:bCs w:val="0"/>
            <w:i w:val="0"/>
            <w:iCs w:val="0"/>
            <w:caps w:val="0"/>
            <w:smallCaps w:val="0"/>
            <w:strike w:val="0"/>
            <w:vanish w:val="0"/>
            <w:color w:val="0000ff"/>
            <w:spacing w:val="0"/>
            <w:position w:val="0"/>
            <w:sz w:val="24"/>
            <w:szCs w:val="20"/>
            <w:highlight w:val="none"/>
            <w:u w:val="none"/>
            <w:vertAlign w:val="baseline"/>
            <w:rtl w:val="0"/>
            <w:cs w:val="0"/>
            <w14:ligatures w14:val="none"/>
          </w:rPr>
          <w:t xml:space="preserve">30</w:t>
        </w:r>
      </w:hyperlink>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Порядка, учреждение предоставляет в Министерство информацию о наличии у него неисполненных обязательств, источником финансового обеспечения которых являются не использованные на 1 января текущего финансово</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го года остатки субсидии и (или) средства от возврата ранее произведенных учреждением выплат, а также документы (копии документов), подтверждающие наличие и объем указанных обязательств учреждения (за исключением обязательств по выплатам физическим лицам).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 31 введен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приказом</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24.05.2021 N 130)</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Приложение 1</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 Порядку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определения объема и условиям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предоставления субсидий на иные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цели бюджетным и автономным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учреждениям, подведомственным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Министерству социальной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235" w:name="P235"/>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235"/>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ЦЕЛИ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 РЕЗУЛЬТАТЫ ПРЕДОСТАВЛЕНИЯ СУБСИДИИ НА ИНЫЕ ЦЕЛИ БЮДЖЕТНЫМ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 АВТОНОМНЫМ УЧРЕЖДЕНИЯМ, ПОДВЕДОМСТВЕННЫМ МИНИСТЕРСТВУ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СОЦИАЛЬНОЙ ПОЛИТИКИ И ТРУДА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tbl>
      <w:tblPr>
        <w:tblW w:w="5000" w:type="pct"/>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ook w:val="04A0" w:firstRow="1" w:lastRow="0" w:firstColumn="1" w:lastColumn="0" w:noHBand="0" w:noVBand="1"/>
      </w:tblPr>
      <w:tblGrid>
        <w:gridCol w:w="60"/>
        <w:gridCol w:w="113"/>
        <w:gridCol w:w="9921"/>
        <w:gridCol w:w="113"/>
      </w:tblGrid>
      <w:tr>
        <w:tblPrEx/>
        <w:trPr/>
        <w:tc>
          <w:tcPr>
            <w:shd w:val="clear" w:color="auto" w:fill="ced3f1"/>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60"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113" w:type="dxa"/>
              <w:right w:w="0" w:type="dxa"/>
              <w:bottom w:w="113" w:type="dxa"/>
            </w:tcMar>
            <w:tcW w:w="0" w:type="auto"/>
            <w:textDirection w:val="lrTb"/>
            <w:noWrap w:val="false"/>
          </w:tcPr>
          <w:p>
            <w:pPr>
              <w:pStyle w:val="827"/>
              <w:jc w:val="center"/>
            </w:pPr>
            <w:r>
              <w:rPr>
                <w:color w:val="392c69"/>
                <w:sz w:val="24"/>
              </w:rPr>
              <w:t xml:space="preserve">Список изменяющих документов</w:t>
            </w:r>
            <w:r/>
          </w:p>
          <w:p>
            <w:pPr>
              <w:pStyle w:val="827"/>
              <w:jc w:val="center"/>
            </w:pPr>
            <w:r>
              <w:rPr>
                <w:color w:val="392c69"/>
                <w:sz w:val="24"/>
              </w:rPr>
              <w:t xml:space="preserve">(в ред. приказов Минсоцполитики УР от 19.07.2022 </w:t>
            </w:r>
            <w:r>
              <w:rPr>
                <w:color w:val="392c69"/>
                <w:sz w:val="24"/>
              </w:rPr>
              <w:t xml:space="preserve">N 137</w:t>
            </w:r>
            <w:r>
              <w:rPr>
                <w:color w:val="392c69"/>
                <w:sz w:val="24"/>
              </w:rPr>
              <w:t xml:space="preserve">,</w:t>
            </w:r>
            <w:r/>
          </w:p>
          <w:p>
            <w:pPr>
              <w:pStyle w:val="827"/>
              <w:jc w:val="center"/>
            </w:pPr>
            <w:r>
              <w:rPr>
                <w:color w:val="392c69"/>
                <w:sz w:val="24"/>
              </w:rPr>
              <w:t xml:space="preserve">от 28.07.2022 </w:t>
            </w:r>
            <w:r>
              <w:rPr>
                <w:color w:val="392c69"/>
                <w:sz w:val="24"/>
              </w:rPr>
              <w:t xml:space="preserve">N 146</w:t>
            </w:r>
            <w:r>
              <w:rPr>
                <w:color w:val="392c69"/>
                <w:sz w:val="24"/>
              </w:rPr>
              <w:t xml:space="preserve">, от 11.10.2022 </w:t>
            </w:r>
            <w:r>
              <w:rPr>
                <w:color w:val="392c69"/>
                <w:sz w:val="24"/>
              </w:rPr>
              <w:t xml:space="preserve">N 185</w:t>
            </w:r>
            <w:r>
              <w:rPr>
                <w:color w:val="392c69"/>
                <w:sz w:val="24"/>
              </w:rPr>
              <w:t xml:space="preserve">, от 24.10.2022 </w:t>
            </w:r>
            <w:r>
              <w:rPr>
                <w:color w:val="392c69"/>
                <w:sz w:val="24"/>
              </w:rPr>
              <w:t xml:space="preserve">N 192</w:t>
            </w:r>
            <w:r>
              <w:rPr>
                <w:color w:val="392c69"/>
                <w:sz w:val="24"/>
              </w:rPr>
              <w:t xml:space="preserve">,</w:t>
            </w:r>
            <w:r/>
          </w:p>
          <w:p>
            <w:pPr>
              <w:pStyle w:val="827"/>
              <w:jc w:val="center"/>
            </w:pPr>
            <w:r>
              <w:rPr>
                <w:color w:val="392c69"/>
                <w:sz w:val="24"/>
              </w:rPr>
              <w:t xml:space="preserve">от 17.04.2023 </w:t>
            </w:r>
            <w:r>
              <w:rPr>
                <w:color w:val="392c69"/>
                <w:sz w:val="24"/>
              </w:rPr>
              <w:t xml:space="preserve">N 67</w:t>
            </w:r>
            <w:r>
              <w:rPr>
                <w:color w:val="392c69"/>
                <w:sz w:val="24"/>
              </w:rPr>
              <w:t xml:space="preserve">, от 20.09.2023 </w:t>
            </w:r>
            <w:r>
              <w:rPr>
                <w:color w:val="392c69"/>
                <w:sz w:val="24"/>
              </w:rPr>
              <w:t xml:space="preserve">N 143</w:t>
            </w:r>
            <w:r>
              <w:rPr>
                <w:color w:val="392c69"/>
                <w:sz w:val="24"/>
              </w:rPr>
              <w:t xml:space="preserve">, от 25.09.2023 </w:t>
            </w:r>
            <w:r>
              <w:rPr>
                <w:color w:val="392c69"/>
                <w:sz w:val="24"/>
              </w:rPr>
              <w:t xml:space="preserve">N 146</w:t>
            </w:r>
            <w:r>
              <w:rPr>
                <w:color w:val="392c69"/>
                <w:sz w:val="24"/>
              </w:rPr>
              <w:t xml:space="preserve">,</w:t>
            </w:r>
            <w:r/>
          </w:p>
          <w:p>
            <w:pPr>
              <w:pStyle w:val="827"/>
              <w:jc w:val="center"/>
            </w:pPr>
            <w:r>
              <w:rPr>
                <w:color w:val="392c69"/>
                <w:sz w:val="24"/>
              </w:rPr>
              <w:t xml:space="preserve">от 30.11.2023 </w:t>
            </w:r>
            <w:r>
              <w:rPr>
                <w:color w:val="392c69"/>
                <w:sz w:val="24"/>
              </w:rPr>
              <w:t xml:space="preserve">N 196</w:t>
            </w:r>
            <w:r>
              <w:rPr>
                <w:color w:val="392c69"/>
                <w:sz w:val="24"/>
              </w:rPr>
              <w:t xml:space="preserve">, от 14.12.2023 </w:t>
            </w:r>
            <w:r>
              <w:rPr>
                <w:color w:val="392c69"/>
                <w:sz w:val="24"/>
              </w:rPr>
              <w:t xml:space="preserve">N 202</w:t>
            </w:r>
            <w:r>
              <w:rPr>
                <w:color w:val="392c69"/>
                <w:sz w:val="24"/>
              </w:rPr>
              <w:t xml:space="preserve">, от 15.02.2024 </w:t>
            </w:r>
            <w:r>
              <w:rPr>
                <w:color w:val="392c69"/>
                <w:sz w:val="24"/>
              </w:rPr>
              <w:t xml:space="preserve">N 16</w:t>
            </w:r>
            <w:r>
              <w:rPr>
                <w:color w:val="392c69"/>
                <w:sz w:val="24"/>
              </w:rPr>
              <w:t xml:space="preserve">,</w:t>
            </w:r>
            <w:r/>
          </w:p>
          <w:p>
            <w:pPr>
              <w:pStyle w:val="827"/>
              <w:jc w:val="center"/>
            </w:pPr>
            <w:r>
              <w:rPr>
                <w:color w:val="392c69"/>
                <w:sz w:val="24"/>
              </w:rPr>
              <w:t xml:space="preserve">от 29.01.2025 </w:t>
            </w:r>
            <w:r>
              <w:rPr>
                <w:color w:val="392c69"/>
                <w:sz w:val="24"/>
              </w:rPr>
              <w:t xml:space="preserve">N 11</w:t>
            </w:r>
            <w:r>
              <w:rPr>
                <w:color w:val="392c69"/>
                <w:sz w:val="24"/>
              </w:rPr>
              <w:t xml:space="preserve">, от 18.02.2025 </w:t>
            </w:r>
            <w:r>
              <w:rPr>
                <w:color w:val="392c69"/>
                <w:sz w:val="24"/>
              </w:rPr>
              <w:t xml:space="preserve">N 23</w:t>
            </w:r>
            <w:r>
              <w:rPr>
                <w:color w:val="392c69"/>
                <w:sz w:val="24"/>
              </w:rPr>
              <w:t xml:space="preserve">, от 28.02.2025 </w:t>
            </w:r>
            <w:r>
              <w:rPr>
                <w:color w:val="392c69"/>
                <w:sz w:val="24"/>
              </w:rPr>
              <w:t xml:space="preserve">N 30</w:t>
            </w:r>
            <w:r>
              <w:rPr>
                <w:color w:val="392c69"/>
                <w:sz w:val="24"/>
              </w:rPr>
              <w:t xml:space="preserve">)</w:t>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tb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62" w:type="dxa"/>
          <w:top w:w="102" w:type="dxa"/>
          <w:right w:w="62" w:type="dxa"/>
          <w:bottom w:w="102" w:type="dxa"/>
        </w:tblCellMar>
        <w:tblLook w:val="04A0" w:firstRow="1" w:lastRow="0" w:firstColumn="1" w:lastColumn="0" w:noHBand="0" w:noVBand="1"/>
      </w:tblPr>
      <w:tblGrid>
        <w:gridCol w:w="510"/>
        <w:gridCol w:w="3685"/>
        <w:gridCol w:w="2268"/>
        <w:gridCol w:w="2608"/>
      </w:tblGrid>
      <w:tr>
        <w:tblPrEx/>
        <w:trPr/>
        <w:tc>
          <w:tcPr>
            <w:tcW w:w="510" w:type="dxa"/>
            <w:textDirection w:val="lrTb"/>
            <w:noWrap w:val="false"/>
          </w:tcPr>
          <w:p>
            <w:pPr>
              <w:pStyle w:val="827"/>
              <w:jc w:val="center"/>
            </w:pPr>
            <w:r>
              <w:rPr>
                <w:sz w:val="24"/>
              </w:rPr>
              <w:t xml:space="preserve">N п/п</w:t>
            </w:r>
            <w:r/>
          </w:p>
        </w:tc>
        <w:tc>
          <w:tcPr>
            <w:tcW w:w="3685" w:type="dxa"/>
            <w:textDirection w:val="lrTb"/>
            <w:noWrap w:val="false"/>
          </w:tcPr>
          <w:p>
            <w:pPr>
              <w:pStyle w:val="827"/>
              <w:jc w:val="center"/>
            </w:pPr>
            <w:r>
              <w:rPr>
                <w:sz w:val="24"/>
              </w:rPr>
              <w:t xml:space="preserve">Цель предоставления субсидии</w:t>
            </w:r>
            <w:r/>
          </w:p>
        </w:tc>
        <w:tc>
          <w:tcPr>
            <w:tcW w:w="2268" w:type="dxa"/>
            <w:textDirection w:val="lrTb"/>
            <w:noWrap w:val="false"/>
          </w:tcPr>
          <w:p>
            <w:pPr>
              <w:pStyle w:val="827"/>
              <w:jc w:val="center"/>
            </w:pPr>
            <w:r>
              <w:rPr>
                <w:sz w:val="24"/>
              </w:rPr>
              <w:t xml:space="preserve">Результаты предоставления субсидии (ед. изм.)</w:t>
            </w:r>
            <w:r/>
          </w:p>
        </w:tc>
        <w:tc>
          <w:tcPr>
            <w:tcW w:w="2608" w:type="dxa"/>
            <w:textDirection w:val="lrTb"/>
            <w:noWrap w:val="false"/>
          </w:tcPr>
          <w:p>
            <w:pPr>
              <w:pStyle w:val="827"/>
              <w:jc w:val="center"/>
            </w:pPr>
            <w:r>
              <w:rPr>
                <w:sz w:val="24"/>
              </w:rPr>
              <w:t xml:space="preserve">Наименование государственной программы Удмуртской Республики, в целях реализации которой предоставляется субсидия</w:t>
            </w:r>
            <w:r/>
          </w:p>
        </w:tc>
      </w:tr>
      <w:tr>
        <w:tblPrEx/>
        <w:trPr/>
        <w:tc>
          <w:tcPr>
            <w:tcW w:w="510" w:type="dxa"/>
            <w:textDirection w:val="lrTb"/>
            <w:noWrap w:val="false"/>
          </w:tcPr>
          <w:p>
            <w:pPr>
              <w:pStyle w:val="827"/>
              <w:jc w:val="center"/>
            </w:pPr>
            <w:r>
              <w:rPr>
                <w:sz w:val="24"/>
              </w:rPr>
              <w:t xml:space="preserve">1</w:t>
            </w:r>
            <w:r/>
          </w:p>
        </w:tc>
        <w:tc>
          <w:tcPr>
            <w:tcW w:w="3685" w:type="dxa"/>
            <w:textDirection w:val="lrTb"/>
            <w:noWrap w:val="false"/>
          </w:tcPr>
          <w:p>
            <w:pPr>
              <w:pStyle w:val="827"/>
              <w:jc w:val="center"/>
            </w:pPr>
            <w:r>
              <w:rPr>
                <w:sz w:val="24"/>
              </w:rPr>
              <w:t xml:space="preserve">2</w:t>
            </w:r>
            <w:r/>
          </w:p>
        </w:tc>
        <w:tc>
          <w:tcPr>
            <w:tcW w:w="2268" w:type="dxa"/>
            <w:textDirection w:val="lrTb"/>
            <w:noWrap w:val="false"/>
          </w:tcPr>
          <w:p>
            <w:pPr>
              <w:pStyle w:val="827"/>
              <w:jc w:val="center"/>
            </w:pPr>
            <w:r>
              <w:rPr>
                <w:sz w:val="24"/>
              </w:rPr>
              <w:t xml:space="preserve">3</w:t>
            </w:r>
            <w:r/>
          </w:p>
        </w:tc>
        <w:tc>
          <w:tcPr>
            <w:tcW w:w="2608" w:type="dxa"/>
            <w:textDirection w:val="lrTb"/>
            <w:noWrap w:val="false"/>
          </w:tcPr>
          <w:p>
            <w:pPr>
              <w:pStyle w:val="827"/>
              <w:jc w:val="center"/>
            </w:pPr>
            <w:r>
              <w:rPr>
                <w:sz w:val="24"/>
              </w:rPr>
              <w:t xml:space="preserve">4</w:t>
            </w:r>
            <w:r/>
          </w:p>
        </w:tc>
      </w:tr>
      <w:tr>
        <w:tblPrEx/>
        <w:trPr/>
        <w:tc>
          <w:tcPr>
            <w:tcW w:w="510" w:type="dxa"/>
            <w:textDirection w:val="lrTb"/>
            <w:noWrap w:val="false"/>
          </w:tcPr>
          <w:p>
            <w:pPr>
              <w:pStyle w:val="827"/>
              <w:jc w:val="center"/>
            </w:pPr>
            <w:r>
              <w:rPr>
                <w:sz w:val="24"/>
              </w:rPr>
              <w:t xml:space="preserve">1</w:t>
            </w:r>
            <w:r/>
          </w:p>
        </w:tc>
        <w:tc>
          <w:tcPr>
            <w:tcW w:w="3685" w:type="dxa"/>
            <w:textDirection w:val="lrTb"/>
            <w:noWrap w:val="false"/>
          </w:tcPr>
          <w:p>
            <w:pPr>
              <w:pStyle w:val="827"/>
            </w:pPr>
            <w:r>
              <w:rPr>
                <w:sz w:val="24"/>
              </w:rPr>
              <w:t xml:space="preserve">Обеспечение комплексной безопасности в отрасли социальной защиты населения</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Социальная поддержка граждан</w:t>
            </w:r>
            <w:r/>
          </w:p>
        </w:tc>
      </w:tr>
      <w:tr>
        <w:tblPrEx/>
        <w:trPr/>
        <w:tc>
          <w:tcPr>
            <w:tcW w:w="510" w:type="dxa"/>
            <w:textDirection w:val="lrTb"/>
            <w:noWrap w:val="false"/>
          </w:tcPr>
          <w:p>
            <w:pPr>
              <w:pStyle w:val="827"/>
              <w:jc w:val="center"/>
            </w:pPr>
            <w:r>
              <w:rPr>
                <w:sz w:val="24"/>
              </w:rPr>
              <w:t xml:space="preserve">2</w:t>
            </w:r>
            <w:r/>
          </w:p>
        </w:tc>
        <w:tc>
          <w:tcPr>
            <w:tcW w:w="3685" w:type="dxa"/>
            <w:textDirection w:val="lrTb"/>
            <w:noWrap w:val="false"/>
          </w:tcPr>
          <w:p>
            <w:pPr>
              <w:pStyle w:val="827"/>
            </w:pPr>
            <w:r>
              <w:rPr>
                <w:sz w:val="24"/>
              </w:rPr>
              <w:t xml:space="preserve">Проведение мероприятий по формированию системы комплексной реабилитации и абилитации инвалидов, в том числе детей-инвалидов</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Доступная среда</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3</w:t>
            </w:r>
            <w:r/>
          </w:p>
        </w:tc>
        <w:tc>
          <w:tcPr>
            <w:tcBorders>
              <w:bottom w:val="none" w:color="000000" w:sz="4" w:space="0"/>
            </w:tcBorders>
            <w:tcW w:w="3685" w:type="dxa"/>
            <w:textDirection w:val="lrTb"/>
            <w:noWrap w:val="false"/>
          </w:tcPr>
          <w:p>
            <w:pPr>
              <w:pStyle w:val="827"/>
            </w:pPr>
            <w:r>
              <w:rPr>
                <w:sz w:val="24"/>
              </w:rPr>
              <w:t xml:space="preserve">Проведение мероприятий, направленных на соблюдение санитарно-эпидемиологических требований и ограничений</w:t>
            </w:r>
            <w:r/>
          </w:p>
        </w:tc>
        <w:tc>
          <w:tcPr>
            <w:tcBorders>
              <w:bottom w:val="none" w:color="000000" w:sz="4" w:space="0"/>
            </w:tcBorders>
            <w:tcW w:w="2268" w:type="dxa"/>
            <w:textDirection w:val="lrTb"/>
            <w:noWrap w:val="false"/>
          </w:tcPr>
          <w:p>
            <w:pPr>
              <w:pStyle w:val="827"/>
            </w:pPr>
            <w:r>
              <w:rPr>
                <w:sz w:val="24"/>
              </w:rPr>
              <w:t xml:space="preserve">Количество проведенных мероприятий (шт.)</w:t>
            </w:r>
            <w:r/>
          </w:p>
        </w:tc>
        <w:tc>
          <w:tcPr>
            <w:tcBorders>
              <w:bottom w:val="none" w:color="000000" w:sz="4" w:space="0"/>
            </w:tcBorders>
            <w:tcW w:w="2608" w:type="dxa"/>
            <w:textDirection w:val="lrTb"/>
            <w:noWrap w:val="false"/>
          </w:tcPr>
          <w:p>
            <w:pPr>
              <w:pStyle w:val="827"/>
            </w:pPr>
            <w:r>
              <w:rPr>
                <w:sz w:val="24"/>
              </w:rPr>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3 в ред. </w:t>
            </w:r>
            <w:r>
              <w:rPr>
                <w:sz w:val="24"/>
              </w:rPr>
              <w:t xml:space="preserve">приказа</w:t>
            </w:r>
            <w:r>
              <w:rPr>
                <w:sz w:val="24"/>
              </w:rPr>
              <w:t xml:space="preserve"> Минсоцполитики УР от 20.09.2023 N 143)</w:t>
            </w:r>
            <w:r/>
          </w:p>
        </w:tc>
      </w:tr>
      <w:tr>
        <w:tblPrEx/>
        <w:trPr/>
        <w:tc>
          <w:tcPr>
            <w:tcW w:w="510" w:type="dxa"/>
            <w:textDirection w:val="lrTb"/>
            <w:noWrap w:val="false"/>
          </w:tcPr>
          <w:p>
            <w:pPr>
              <w:pStyle w:val="827"/>
              <w:jc w:val="center"/>
            </w:pPr>
            <w:r>
              <w:rPr>
                <w:sz w:val="24"/>
              </w:rPr>
              <w:t xml:space="preserve">4</w:t>
            </w:r>
            <w:r/>
          </w:p>
        </w:tc>
        <w:tc>
          <w:tcPr>
            <w:tcW w:w="3685" w:type="dxa"/>
            <w:textDirection w:val="lrTb"/>
            <w:noWrap w:val="false"/>
          </w:tcPr>
          <w:p>
            <w:pPr>
              <w:pStyle w:val="827"/>
            </w:pPr>
            <w:r>
              <w:rPr>
                <w:sz w:val="24"/>
              </w:rPr>
              <w:t xml:space="preserve">Реализация мероприятий по улучшению положения и качества жизни пожилых людей</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Социальная поддержка граждан</w:t>
            </w:r>
            <w:r/>
          </w:p>
        </w:tc>
      </w:tr>
      <w:tr>
        <w:tblPrEx/>
        <w:trPr/>
        <w:tc>
          <w:tcPr>
            <w:tcW w:w="510" w:type="dxa"/>
            <w:textDirection w:val="lrTb"/>
            <w:noWrap w:val="false"/>
          </w:tcPr>
          <w:p>
            <w:pPr>
              <w:pStyle w:val="827"/>
              <w:jc w:val="center"/>
            </w:pPr>
            <w:r>
              <w:rPr>
                <w:sz w:val="24"/>
              </w:rPr>
              <w:t xml:space="preserve">5</w:t>
            </w:r>
            <w:r/>
          </w:p>
        </w:tc>
        <w:tc>
          <w:tcPr>
            <w:tcW w:w="3685" w:type="dxa"/>
            <w:textDirection w:val="lrTb"/>
            <w:noWrap w:val="false"/>
          </w:tcPr>
          <w:p>
            <w:pPr>
              <w:pStyle w:val="827"/>
            </w:pPr>
            <w:r>
              <w:rPr>
                <w:sz w:val="24"/>
              </w:rPr>
              <w:t xml:space="preserve">Проведение мероприятий в рамках реализации мер по стабилизации демографической ситуации в Удмуртской Республике</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Социальная поддержка граждан</w:t>
            </w:r>
            <w:r/>
          </w:p>
        </w:tc>
      </w:tr>
      <w:tr>
        <w:tblPrEx/>
        <w:trPr/>
        <w:tc>
          <w:tcPr>
            <w:tcW w:w="510" w:type="dxa"/>
            <w:textDirection w:val="lrTb"/>
            <w:noWrap w:val="false"/>
          </w:tcPr>
          <w:p>
            <w:pPr>
              <w:pStyle w:val="827"/>
              <w:jc w:val="center"/>
            </w:pPr>
            <w:r>
              <w:rPr>
                <w:sz w:val="24"/>
              </w:rPr>
              <w:t xml:space="preserve">6</w:t>
            </w:r>
            <w:r/>
          </w:p>
        </w:tc>
        <w:tc>
          <w:tcPr>
            <w:tcW w:w="3685" w:type="dxa"/>
            <w:textDirection w:val="lrTb"/>
            <w:noWrap w:val="false"/>
          </w:tcPr>
          <w:p>
            <w:pPr>
              <w:pStyle w:val="827"/>
            </w:pPr>
            <w:r>
              <w:rPr>
                <w:sz w:val="24"/>
              </w:rPr>
              <w:t xml:space="preserve">Проведение мероприятий по обеспечению пожарной безопасности в органах и учреждениях социальной защиты населения</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Социальная поддержка граждан</w:t>
            </w:r>
            <w:r/>
          </w:p>
        </w:tc>
      </w:tr>
      <w:tr>
        <w:tblPrEx/>
        <w:trPr/>
        <w:tc>
          <w:tcPr>
            <w:tcW w:w="510" w:type="dxa"/>
            <w:textDirection w:val="lrTb"/>
            <w:noWrap w:val="false"/>
          </w:tcPr>
          <w:p>
            <w:pPr>
              <w:pStyle w:val="827"/>
              <w:jc w:val="center"/>
            </w:pPr>
            <w:r>
              <w:rPr>
                <w:sz w:val="24"/>
              </w:rPr>
              <w:t xml:space="preserve">7</w:t>
            </w:r>
            <w:r/>
          </w:p>
        </w:tc>
        <w:tc>
          <w:tcPr>
            <w:tcW w:w="3685" w:type="dxa"/>
            <w:textDirection w:val="lrTb"/>
            <w:noWrap w:val="false"/>
          </w:tcPr>
          <w:p>
            <w:pPr>
              <w:pStyle w:val="827"/>
            </w:pPr>
            <w:r>
              <w:rPr>
                <w:sz w:val="24"/>
              </w:rPr>
              <w:t xml:space="preserve">Реализация мероприятий по адаптации объектов социальной инфраструктуры с целью доступности для инвалидов и другие мероприятий в рамках реализации государственной </w:t>
            </w:r>
            <w:r>
              <w:rPr>
                <w:sz w:val="24"/>
              </w:rPr>
              <w:t xml:space="preserve">программы</w:t>
            </w:r>
            <w:r>
              <w:rPr>
                <w:sz w:val="24"/>
              </w:rPr>
              <w:t xml:space="preserve"> Удмуртской Республики "Доступная среда"</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Доступная среда</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8</w:t>
            </w:r>
            <w:r/>
          </w:p>
        </w:tc>
        <w:tc>
          <w:tcPr>
            <w:tcBorders>
              <w:bottom w:val="none" w:color="000000" w:sz="4" w:space="0"/>
            </w:tcBorders>
            <w:tcW w:w="3685" w:type="dxa"/>
            <w:textDirection w:val="lrTb"/>
            <w:noWrap w:val="false"/>
          </w:tcPr>
          <w:p>
            <w:pPr>
              <w:pStyle w:val="827"/>
            </w:pPr>
            <w:r>
              <w:rPr>
                <w:sz w:val="24"/>
              </w:rPr>
              <w:t xml:space="preserve">Работа службы "Социальное такси" в городах Удмуртской Республики в рамках реализации государственной </w:t>
            </w:r>
            <w:r>
              <w:rPr>
                <w:sz w:val="24"/>
              </w:rPr>
              <w:t xml:space="preserve">программы</w:t>
            </w:r>
            <w:r>
              <w:rPr>
                <w:sz w:val="24"/>
              </w:rPr>
              <w:t xml:space="preserve"> Удмуртской Республики "Доступная среда"</w:t>
            </w:r>
            <w:r/>
          </w:p>
        </w:tc>
        <w:tc>
          <w:tcPr>
            <w:tcBorders>
              <w:bottom w:val="none" w:color="000000" w:sz="4" w:space="0"/>
            </w:tcBorders>
            <w:tcW w:w="2268" w:type="dxa"/>
            <w:textDirection w:val="lrTb"/>
            <w:noWrap w:val="false"/>
          </w:tcPr>
          <w:p>
            <w:pPr>
              <w:pStyle w:val="827"/>
            </w:pPr>
            <w:r>
              <w:rPr>
                <w:sz w:val="24"/>
              </w:rPr>
              <w:t xml:space="preserve">Количество поездок (шт.)</w:t>
            </w:r>
            <w:r/>
          </w:p>
        </w:tc>
        <w:tc>
          <w:tcPr>
            <w:tcBorders>
              <w:bottom w:val="none" w:color="000000" w:sz="4" w:space="0"/>
            </w:tcBorders>
            <w:tcW w:w="2608" w:type="dxa"/>
            <w:textDirection w:val="lrTb"/>
            <w:noWrap w:val="false"/>
          </w:tcPr>
          <w:p>
            <w:pPr>
              <w:pStyle w:val="827"/>
            </w:pPr>
            <w:r>
              <w:rPr>
                <w:sz w:val="24"/>
              </w:rPr>
              <w:t xml:space="preserve">Доступная среда</w:t>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8 в ред. </w:t>
            </w:r>
            <w:r>
              <w:rPr>
                <w:sz w:val="24"/>
              </w:rPr>
              <w:t xml:space="preserve">приказа</w:t>
            </w:r>
            <w:r>
              <w:rPr>
                <w:sz w:val="24"/>
              </w:rPr>
              <w:t xml:space="preserve"> Минсоцполитики УР от 20.09.2023 N 143)</w:t>
            </w:r>
            <w:r/>
          </w:p>
        </w:tc>
      </w:tr>
      <w:tr>
        <w:tblPrEx/>
        <w:trPr/>
        <w:tc>
          <w:tcPr>
            <w:tcW w:w="510" w:type="dxa"/>
            <w:textDirection w:val="lrTb"/>
            <w:noWrap w:val="false"/>
          </w:tcPr>
          <w:p>
            <w:pPr>
              <w:pStyle w:val="827"/>
              <w:jc w:val="center"/>
            </w:pPr>
            <w:r>
              <w:rPr>
                <w:sz w:val="24"/>
              </w:rPr>
              <w:t xml:space="preserve">9</w:t>
            </w:r>
            <w:r/>
          </w:p>
        </w:tc>
        <w:tc>
          <w:tcPr>
            <w:tcW w:w="3685" w:type="dxa"/>
            <w:textDirection w:val="lrTb"/>
            <w:noWrap w:val="false"/>
          </w:tcPr>
          <w:p>
            <w:pPr>
              <w:pStyle w:val="827"/>
            </w:pPr>
            <w:r>
              <w:rPr>
                <w:sz w:val="24"/>
              </w:rPr>
              <w:t xml:space="preserve">Проведение мероприятий, направленных на организацию отдыха, оздоровления и занятости детей, подростков и молодежи в Удмуртской Республике</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r>
            <w:r/>
          </w:p>
        </w:tc>
      </w:tr>
      <w:tr>
        <w:tblPrEx/>
        <w:trPr/>
        <w:tc>
          <w:tcPr>
            <w:tcW w:w="510" w:type="dxa"/>
            <w:textDirection w:val="lrTb"/>
            <w:noWrap w:val="false"/>
          </w:tcPr>
          <w:p>
            <w:pPr>
              <w:pStyle w:val="827"/>
              <w:jc w:val="center"/>
            </w:pPr>
            <w:r>
              <w:rPr>
                <w:sz w:val="24"/>
              </w:rPr>
              <w:t xml:space="preserve">10</w:t>
            </w:r>
            <w:r/>
          </w:p>
        </w:tc>
        <w:tc>
          <w:tcPr>
            <w:tcW w:w="3685" w:type="dxa"/>
            <w:textDirection w:val="lrTb"/>
            <w:noWrap w:val="false"/>
          </w:tcPr>
          <w:p>
            <w:pPr>
              <w:pStyle w:val="827"/>
            </w:pPr>
            <w:r>
              <w:rPr>
                <w:sz w:val="24"/>
              </w:rPr>
              <w:t xml:space="preserve">Реализация решений Главы Удмуртской Республики и Председателя Правительства Удмуртской Республики</w:t>
            </w:r>
            <w:r/>
          </w:p>
        </w:tc>
        <w:tc>
          <w:tcPr>
            <w:tcW w:w="2268" w:type="dxa"/>
            <w:textDirection w:val="lrTb"/>
            <w:noWrap w:val="false"/>
          </w:tcPr>
          <w:p>
            <w:pPr>
              <w:pStyle w:val="827"/>
            </w:pPr>
            <w:r>
              <w:rPr>
                <w:sz w:val="24"/>
              </w:rPr>
              <w:t xml:space="preserve">Количество реализованных решений (шт.)</w:t>
            </w:r>
            <w:r/>
          </w:p>
        </w:tc>
        <w:tc>
          <w:tcPr>
            <w:tcW w:w="2608" w:type="dxa"/>
            <w:textDirection w:val="lrTb"/>
            <w:noWrap w:val="false"/>
          </w:tcPr>
          <w:p>
            <w:pPr>
              <w:pStyle w:val="827"/>
            </w:pPr>
            <w:r>
              <w:rPr>
                <w:sz w:val="24"/>
              </w:rPr>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11</w:t>
            </w:r>
            <w:r/>
          </w:p>
        </w:tc>
        <w:tc>
          <w:tcPr>
            <w:tcBorders>
              <w:bottom w:val="none" w:color="000000" w:sz="4" w:space="0"/>
            </w:tcBorders>
            <w:tcW w:w="3685" w:type="dxa"/>
            <w:textDirection w:val="lrTb"/>
            <w:noWrap w:val="false"/>
          </w:tcPr>
          <w:p>
            <w:pPr>
              <w:pStyle w:val="827"/>
            </w:pPr>
            <w:r>
              <w:rPr>
                <w:sz w:val="24"/>
              </w:rPr>
              <w:t xml:space="preserve">Укрепление материально-технической базы учреждений</w:t>
            </w:r>
            <w:r/>
          </w:p>
        </w:tc>
        <w:tc>
          <w:tcPr>
            <w:tcBorders>
              <w:bottom w:val="none" w:color="000000" w:sz="4" w:space="0"/>
            </w:tcBorders>
            <w:tcW w:w="2268" w:type="dxa"/>
            <w:textDirection w:val="lrTb"/>
            <w:noWrap w:val="false"/>
          </w:tcPr>
          <w:p>
            <w:pPr>
              <w:pStyle w:val="827"/>
            </w:pPr>
            <w:r>
              <w:rPr>
                <w:sz w:val="24"/>
              </w:rPr>
              <w:t xml:space="preserve">Количество проведенных мероприятий (шт.)</w:t>
            </w:r>
            <w:r/>
          </w:p>
        </w:tc>
        <w:tc>
          <w:tcPr>
            <w:tcBorders>
              <w:bottom w:val="none" w:color="000000" w:sz="4" w:space="0"/>
            </w:tcBorders>
            <w:tcW w:w="2608" w:type="dxa"/>
            <w:textDirection w:val="lrTb"/>
            <w:noWrap w:val="false"/>
          </w:tcPr>
          <w:p>
            <w:pPr>
              <w:pStyle w:val="827"/>
            </w:pPr>
            <w:r>
              <w:rPr>
                <w:sz w:val="24"/>
              </w:rPr>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11 в ред. </w:t>
            </w:r>
            <w:r>
              <w:rPr>
                <w:sz w:val="24"/>
              </w:rPr>
              <w:t xml:space="preserve">приказа</w:t>
            </w:r>
            <w:r>
              <w:rPr>
                <w:sz w:val="24"/>
              </w:rPr>
              <w:t xml:space="preserve"> Минсоцполитики УР от 17.04.2023 N 67)</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12</w:t>
            </w:r>
            <w:r/>
          </w:p>
        </w:tc>
        <w:tc>
          <w:tcPr>
            <w:tcBorders>
              <w:bottom w:val="none" w:color="000000" w:sz="4" w:space="0"/>
            </w:tcBorders>
            <w:tcW w:w="3685" w:type="dxa"/>
            <w:textDirection w:val="lrTb"/>
            <w:noWrap w:val="false"/>
          </w:tcPr>
          <w:p>
            <w:pPr>
              <w:pStyle w:val="827"/>
            </w:pPr>
            <w:r>
              <w:rPr>
                <w:sz w:val="24"/>
              </w:rPr>
              <w:t xml:space="preserve">Оплата расходов по содержанию имущества, в том числе обеспечение уплаты налогов</w:t>
            </w:r>
            <w:r/>
          </w:p>
        </w:tc>
        <w:tc>
          <w:tcPr>
            <w:tcBorders>
              <w:bottom w:val="none" w:color="000000" w:sz="4" w:space="0"/>
            </w:tcBorders>
            <w:tcW w:w="2268" w:type="dxa"/>
            <w:textDirection w:val="lrTb"/>
            <w:noWrap w:val="false"/>
          </w:tcPr>
          <w:p>
            <w:pPr>
              <w:pStyle w:val="827"/>
            </w:pPr>
            <w:r>
              <w:rPr>
                <w:sz w:val="24"/>
              </w:rPr>
              <w:t xml:space="preserve">Сумма уплаченных налогов, сборов и иных сумм принудительного изъятия (руб.)</w:t>
            </w:r>
            <w:r/>
          </w:p>
        </w:tc>
        <w:tc>
          <w:tcPr>
            <w:tcBorders>
              <w:bottom w:val="none" w:color="000000" w:sz="4" w:space="0"/>
            </w:tcBorders>
            <w:tcW w:w="2608" w:type="dxa"/>
            <w:textDirection w:val="lrTb"/>
            <w:noWrap w:val="false"/>
          </w:tcPr>
          <w:p>
            <w:pPr>
              <w:pStyle w:val="827"/>
            </w:pPr>
            <w:r>
              <w:rPr>
                <w:sz w:val="24"/>
              </w:rPr>
              <w:t xml:space="preserve">Социальная поддержка граждан</w:t>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12 в ред. </w:t>
            </w:r>
            <w:r>
              <w:rPr>
                <w:sz w:val="24"/>
              </w:rPr>
              <w:t xml:space="preserve">приказа</w:t>
            </w:r>
            <w:r>
              <w:rPr>
                <w:sz w:val="24"/>
              </w:rPr>
              <w:t xml:space="preserve"> Минсоцполитики УР от 18.02.2025 N 23)</w:t>
            </w:r>
            <w:r/>
          </w:p>
        </w:tc>
      </w:tr>
      <w:tr>
        <w:tblPrEx/>
        <w:trPr/>
        <w:tc>
          <w:tcPr>
            <w:tcW w:w="510" w:type="dxa"/>
            <w:textDirection w:val="lrTb"/>
            <w:noWrap w:val="false"/>
          </w:tcPr>
          <w:p>
            <w:pPr>
              <w:pStyle w:val="827"/>
              <w:jc w:val="center"/>
            </w:pPr>
            <w:r>
              <w:rPr>
                <w:sz w:val="24"/>
              </w:rPr>
              <w:t xml:space="preserve">13</w:t>
            </w:r>
            <w:r/>
          </w:p>
        </w:tc>
        <w:tc>
          <w:tcPr>
            <w:tcW w:w="3685" w:type="dxa"/>
            <w:textDirection w:val="lrTb"/>
            <w:noWrap w:val="false"/>
          </w:tcPr>
          <w:p>
            <w:pPr>
              <w:pStyle w:val="827"/>
            </w:pPr>
            <w:r>
              <w:rPr>
                <w:sz w:val="24"/>
              </w:rPr>
              <w:t xml:space="preserve">Реализация мероприятий по подготовке учреждений к отопительному сезону</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Социальная поддержка граждан</w:t>
            </w:r>
            <w:r/>
          </w:p>
        </w:tc>
      </w:tr>
      <w:tr>
        <w:tblPrEx/>
        <w:trPr/>
        <w:tc>
          <w:tcPr>
            <w:tcW w:w="510" w:type="dxa"/>
            <w:textDirection w:val="lrTb"/>
            <w:noWrap w:val="false"/>
          </w:tcPr>
          <w:p>
            <w:pPr>
              <w:pStyle w:val="827"/>
              <w:jc w:val="center"/>
            </w:pPr>
            <w:r>
              <w:rPr>
                <w:sz w:val="24"/>
              </w:rPr>
              <w:t xml:space="preserve">14</w:t>
            </w:r>
            <w:r/>
          </w:p>
        </w:tc>
        <w:tc>
          <w:tcPr>
            <w:tcW w:w="3685" w:type="dxa"/>
            <w:textDirection w:val="lrTb"/>
            <w:noWrap w:val="false"/>
          </w:tcPr>
          <w:p>
            <w:pPr>
              <w:pStyle w:val="827"/>
            </w:pPr>
            <w:r>
              <w:rPr>
                <w:sz w:val="24"/>
              </w:rPr>
              <w:t xml:space="preserve">Обеспечение текущей деятельности в сфере установленных функций Министерства</w:t>
            </w:r>
            <w:r/>
          </w:p>
        </w:tc>
        <w:tc>
          <w:tcPr>
            <w:tcW w:w="2268" w:type="dxa"/>
            <w:textDirection w:val="lrTb"/>
            <w:noWrap w:val="false"/>
          </w:tcPr>
          <w:p>
            <w:pPr>
              <w:pStyle w:val="827"/>
            </w:pPr>
            <w:r>
              <w:rPr>
                <w:sz w:val="24"/>
              </w:rPr>
              <w:t xml:space="preserve">Количество проведенных мероприятий (шт.)</w:t>
            </w:r>
            <w:r/>
          </w:p>
        </w:tc>
        <w:tc>
          <w:tcPr>
            <w:tcW w:w="2608" w:type="dxa"/>
            <w:textDirection w:val="lrTb"/>
            <w:noWrap w:val="false"/>
          </w:tcPr>
          <w:p>
            <w:pPr>
              <w:pStyle w:val="827"/>
            </w:pPr>
            <w:r>
              <w:rPr>
                <w:sz w:val="24"/>
              </w:rPr>
              <w:t xml:space="preserve">Социальная поддержка граждан</w:t>
            </w:r>
            <w:r/>
          </w:p>
        </w:tc>
      </w:tr>
      <w:tr>
        <w:tblPrEx/>
        <w:trPr/>
        <w:tc>
          <w:tcPr>
            <w:tcW w:w="510" w:type="dxa"/>
            <w:textDirection w:val="lrTb"/>
            <w:noWrap w:val="false"/>
          </w:tcPr>
          <w:p>
            <w:pPr>
              <w:pStyle w:val="827"/>
              <w:jc w:val="center"/>
            </w:pPr>
            <w:r>
              <w:rPr>
                <w:sz w:val="24"/>
              </w:rPr>
              <w:t xml:space="preserve">15</w:t>
            </w:r>
            <w:r/>
          </w:p>
        </w:tc>
        <w:tc>
          <w:tcPr>
            <w:tcW w:w="3685" w:type="dxa"/>
            <w:textDirection w:val="lrTb"/>
            <w:noWrap w:val="false"/>
          </w:tcPr>
          <w:p>
            <w:pPr>
              <w:pStyle w:val="827"/>
            </w:pPr>
            <w:r>
              <w:rPr>
                <w:sz w:val="24"/>
              </w:rPr>
              <w:t xml:space="preserve">Проведение капитального ремонта за счет средств бюджета Удмуртской Республики</w:t>
            </w:r>
            <w:r/>
          </w:p>
        </w:tc>
        <w:tc>
          <w:tcPr>
            <w:tcW w:w="2268" w:type="dxa"/>
            <w:textDirection w:val="lrTb"/>
            <w:noWrap w:val="false"/>
          </w:tcPr>
          <w:p>
            <w:pPr>
              <w:pStyle w:val="827"/>
            </w:pPr>
            <w:r>
              <w:rPr>
                <w:sz w:val="24"/>
              </w:rPr>
              <w:t xml:space="preserve">Количество отремонтированных объектов (шт.)</w:t>
            </w:r>
            <w:r/>
          </w:p>
        </w:tc>
        <w:tc>
          <w:tcPr>
            <w:tcW w:w="2608" w:type="dxa"/>
            <w:textDirection w:val="lrTb"/>
            <w:noWrap w:val="false"/>
          </w:tcPr>
          <w:p>
            <w:pPr>
              <w:pStyle w:val="827"/>
            </w:pPr>
            <w:r>
              <w:rPr>
                <w:sz w:val="24"/>
              </w:rPr>
              <w:t xml:space="preserve">Социальная поддержка граждан</w:t>
            </w:r>
            <w:r/>
          </w:p>
        </w:tc>
      </w:tr>
      <w:tr>
        <w:tblPrEx/>
        <w:trPr/>
        <w:tc>
          <w:tcPr>
            <w:tcBorders>
              <w:bottom w:val="none" w:color="000000" w:sz="4" w:space="0"/>
            </w:tcBorders>
            <w:tcW w:w="510" w:type="dxa"/>
            <w:vMerge w:val="restart"/>
            <w:textDirection w:val="lrTb"/>
            <w:noWrap w:val="false"/>
          </w:tcPr>
          <w:p>
            <w:pPr>
              <w:pStyle w:val="827"/>
              <w:jc w:val="center"/>
            </w:pPr>
            <w:r>
              <w:rPr>
                <w:sz w:val="24"/>
              </w:rPr>
              <w:t xml:space="preserve">16</w:t>
            </w:r>
            <w:r/>
          </w:p>
        </w:tc>
        <w:tc>
          <w:tcPr>
            <w:tcBorders>
              <w:bottom w:val="none" w:color="000000" w:sz="4" w:space="0"/>
            </w:tcBorders>
            <w:tcW w:w="3685" w:type="dxa"/>
            <w:vMerge w:val="restart"/>
            <w:textDirection w:val="lrTb"/>
            <w:noWrap w:val="false"/>
          </w:tcPr>
          <w:p>
            <w:pPr>
              <w:pStyle w:val="827"/>
            </w:pPr>
            <w:r>
              <w:rPr>
                <w:sz w:val="24"/>
              </w:rPr>
              <w:t xml:space="preserve">Реализация регионального проекта по созданию созданию системы долговременного ухода за гражданами пожилого возраста и инвалидами, признанными нуждающимися в социальном обслуживании</w:t>
            </w:r>
            <w:r/>
          </w:p>
        </w:tc>
        <w:tc>
          <w:tcPr>
            <w:tcW w:w="2268" w:type="dxa"/>
            <w:textDirection w:val="lrTb"/>
            <w:noWrap w:val="false"/>
          </w:tcPr>
          <w:p>
            <w:pPr>
              <w:pStyle w:val="827"/>
            </w:pPr>
            <w:r>
              <w:rPr>
                <w:sz w:val="24"/>
              </w:rPr>
              <w:t xml:space="preserve">Граждане старше трудоспособного возраста и инвалиды получили услуги в рамках системы долговременного ухода (%)</w:t>
            </w:r>
            <w:r/>
          </w:p>
        </w:tc>
        <w:tc>
          <w:tcPr>
            <w:tcBorders>
              <w:bottom w:val="none" w:color="000000" w:sz="4" w:space="0"/>
            </w:tcBorders>
            <w:tcW w:w="2608" w:type="dxa"/>
            <w:vMerge w:val="restart"/>
            <w:textDirection w:val="lrTb"/>
            <w:noWrap w:val="false"/>
          </w:tcPr>
          <w:p>
            <w:pPr>
              <w:pStyle w:val="827"/>
            </w:pPr>
            <w:r>
              <w:rPr>
                <w:sz w:val="24"/>
              </w:rPr>
              <w:t xml:space="preserve">Социальная поддержка граждан</w:t>
            </w:r>
            <w:r/>
          </w:p>
        </w:tc>
      </w:tr>
      <w:tr>
        <w:tblPrEx>
          <w:tblBorders>
            <w:insideH w:val="none" w:color="000000" w:sz="4" w:space="0"/>
          </w:tblBorders>
        </w:tblPrEx>
        <w:trPr/>
        <w:tc>
          <w:tcPr>
            <w:tcBorders>
              <w:bottom w:val="none" w:color="000000" w:sz="4" w:space="0"/>
            </w:tcBorders>
            <w:vMerge w:val="continue"/>
            <w:textDirection w:val="lrTb"/>
            <w:noWrap w:val="false"/>
          </w:tcPr>
          <w:p>
            <w:r/>
            <w:r/>
          </w:p>
        </w:tc>
        <w:tc>
          <w:tcPr>
            <w:tcBorders>
              <w:bottom w:val="none" w:color="000000" w:sz="4" w:space="0"/>
            </w:tcBorders>
            <w:vMerge w:val="continue"/>
            <w:textDirection w:val="lrTb"/>
            <w:noWrap w:val="false"/>
          </w:tcPr>
          <w:p>
            <w:r/>
            <w:r/>
          </w:p>
        </w:tc>
        <w:tc>
          <w:tcPr>
            <w:tcBorders>
              <w:bottom w:val="none" w:color="000000" w:sz="4" w:space="0"/>
            </w:tcBorders>
            <w:tcW w:w="2268" w:type="dxa"/>
            <w:textDirection w:val="lrTb"/>
            <w:noWrap w:val="false"/>
          </w:tcPr>
          <w:p>
            <w:pPr>
              <w:pStyle w:val="827"/>
            </w:pPr>
            <w:r>
              <w:rPr>
                <w:sz w:val="24"/>
              </w:rPr>
              <w:t xml:space="preserve">Граждане старше трудоспособного возраста и инвалиды получили услуги в рамках системы долговременного ухода (чел.)</w:t>
            </w:r>
            <w:r/>
          </w:p>
        </w:tc>
        <w:tc>
          <w:tcPr>
            <w:tcBorders>
              <w:bottom w:val="none" w:color="000000" w:sz="4" w:space="0"/>
            </w:tcBorders>
            <w:vMerge w:val="continue"/>
            <w:textDirection w:val="lrTb"/>
            <w:noWrap w:val="false"/>
          </w:tcPr>
          <w:p>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16 в ред. </w:t>
            </w:r>
            <w:r>
              <w:rPr>
                <w:sz w:val="24"/>
              </w:rPr>
              <w:t xml:space="preserve">приказа</w:t>
            </w:r>
            <w:r>
              <w:rPr>
                <w:sz w:val="24"/>
              </w:rPr>
              <w:t xml:space="preserve"> Минсоцполитики УР от 28.02.2025 N 30)</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17</w:t>
            </w:r>
            <w:r/>
          </w:p>
        </w:tc>
        <w:tc>
          <w:tcPr>
            <w:tcBorders>
              <w:bottom w:val="none" w:color="000000" w:sz="4" w:space="0"/>
            </w:tcBorders>
            <w:tcW w:w="3685" w:type="dxa"/>
            <w:textDirection w:val="lrTb"/>
            <w:noWrap w:val="false"/>
          </w:tcPr>
          <w:p>
            <w:pPr>
              <w:pStyle w:val="827"/>
            </w:pPr>
            <w:r>
              <w:rPr>
                <w:sz w:val="24"/>
              </w:rPr>
              <w:t xml:space="preserve">Организация и проведение международных, всероссийских, межрегиональных и республиканских мероприятий в Удмуртской Республике</w:t>
            </w:r>
            <w:r/>
          </w:p>
        </w:tc>
        <w:tc>
          <w:tcPr>
            <w:tcBorders>
              <w:bottom w:val="none" w:color="000000" w:sz="4" w:space="0"/>
            </w:tcBorders>
            <w:tcW w:w="2268" w:type="dxa"/>
            <w:textDirection w:val="lrTb"/>
            <w:noWrap w:val="false"/>
          </w:tcPr>
          <w:p>
            <w:pPr>
              <w:pStyle w:val="827"/>
            </w:pPr>
            <w:r>
              <w:rPr>
                <w:sz w:val="24"/>
              </w:rPr>
              <w:t xml:space="preserve">Количество проведенных мероприятий (шт.)</w:t>
            </w:r>
            <w:r/>
          </w:p>
        </w:tc>
        <w:tc>
          <w:tcPr>
            <w:tcBorders>
              <w:bottom w:val="none" w:color="000000" w:sz="4" w:space="0"/>
            </w:tcBorders>
            <w:tcW w:w="2608" w:type="dxa"/>
            <w:textDirection w:val="lrTb"/>
            <w:noWrap w:val="false"/>
          </w:tcPr>
          <w:p>
            <w:pPr>
              <w:pStyle w:val="827"/>
            </w:pPr>
            <w:r>
              <w:rPr>
                <w:sz w:val="24"/>
              </w:rPr>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17 в ред. </w:t>
            </w:r>
            <w:r>
              <w:rPr>
                <w:sz w:val="24"/>
              </w:rPr>
              <w:t xml:space="preserve">приказа</w:t>
            </w:r>
            <w:r>
              <w:rPr>
                <w:sz w:val="24"/>
              </w:rPr>
              <w:t xml:space="preserve"> Минсоцполитики УР от 15.02.2024 N 16)</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18</w:t>
            </w:r>
            <w:r/>
          </w:p>
        </w:tc>
        <w:tc>
          <w:tcPr>
            <w:tcBorders>
              <w:bottom w:val="none" w:color="000000" w:sz="4" w:space="0"/>
            </w:tcBorders>
            <w:tcW w:w="3685" w:type="dxa"/>
            <w:textDirection w:val="lrTb"/>
            <w:noWrap w:val="false"/>
          </w:tcPr>
          <w:p>
            <w:pPr>
              <w:pStyle w:val="827"/>
            </w:pPr>
            <w:r>
              <w:rPr>
                <w:sz w:val="24"/>
              </w:rPr>
              <w:t xml:space="preserve">Обеспечение социального сопровождения беременных женщин, женщин с детьми, испытывающих насилие в семье, в том числе с предоставлением места проживания в отделениях помощи женщинам, оказавшимся в трудной жизненной ситуации</w:t>
            </w:r>
            <w:r/>
          </w:p>
        </w:tc>
        <w:tc>
          <w:tcPr>
            <w:tcBorders>
              <w:bottom w:val="none" w:color="000000" w:sz="4" w:space="0"/>
            </w:tcBorders>
            <w:tcW w:w="2268" w:type="dxa"/>
            <w:textDirection w:val="lrTb"/>
            <w:noWrap w:val="false"/>
          </w:tcPr>
          <w:p>
            <w:pPr>
              <w:pStyle w:val="827"/>
            </w:pPr>
            <w:r>
              <w:rPr>
                <w:sz w:val="24"/>
              </w:rPr>
              <w:t xml:space="preserve">Количество охваченных мероприятиями семей (ед.)</w:t>
            </w:r>
            <w:r/>
          </w:p>
        </w:tc>
        <w:tc>
          <w:tcPr>
            <w:tcBorders>
              <w:bottom w:val="none" w:color="000000" w:sz="4" w:space="0"/>
            </w:tcBorders>
            <w:tcW w:w="2608" w:type="dxa"/>
            <w:textDirection w:val="lrTb"/>
            <w:noWrap w:val="false"/>
          </w:tcPr>
          <w:p>
            <w:pPr>
              <w:pStyle w:val="827"/>
            </w:pPr>
            <w:r>
              <w:rPr>
                <w:sz w:val="24"/>
              </w:rPr>
              <w:t xml:space="preserve">Обеспечение общественного порядка и противодействие преступности в Удмуртской Республике</w:t>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18 введен </w:t>
            </w:r>
            <w:r>
              <w:rPr>
                <w:sz w:val="24"/>
              </w:rPr>
              <w:t xml:space="preserve">приказом</w:t>
            </w:r>
            <w:r>
              <w:rPr>
                <w:sz w:val="24"/>
              </w:rPr>
              <w:t xml:space="preserve"> Минсоцполитики УР от 11.10.2022 N 185)</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19</w:t>
            </w:r>
            <w:r/>
          </w:p>
        </w:tc>
        <w:tc>
          <w:tcPr>
            <w:tcBorders>
              <w:bottom w:val="none" w:color="000000" w:sz="4" w:space="0"/>
            </w:tcBorders>
            <w:tcW w:w="3685" w:type="dxa"/>
            <w:textDirection w:val="lrTb"/>
            <w:noWrap w:val="false"/>
          </w:tcPr>
          <w:p>
            <w:pPr>
              <w:pStyle w:val="827"/>
            </w:pPr>
            <w:r>
              <w:rPr>
                <w:sz w:val="24"/>
              </w:rPr>
              <w:t xml:space="preserve">Р</w:t>
            </w:r>
            <w:r>
              <w:rPr>
                <w:sz w:val="24"/>
              </w:rPr>
              <w:t xml:space="preserve">еализация мероприятий в целях оказания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w:t>
            </w:r>
            <w:r/>
          </w:p>
        </w:tc>
        <w:tc>
          <w:tcPr>
            <w:tcBorders>
              <w:bottom w:val="none" w:color="000000" w:sz="4" w:space="0"/>
            </w:tcBorders>
            <w:tcW w:w="2268" w:type="dxa"/>
            <w:textDirection w:val="lrTb"/>
            <w:noWrap w:val="false"/>
          </w:tcPr>
          <w:p>
            <w:pPr>
              <w:pStyle w:val="827"/>
            </w:pPr>
            <w:r>
              <w:rPr>
                <w:sz w:val="24"/>
              </w:rPr>
              <w:t xml:space="preserve">Количество оказанных услуг (шт.)</w:t>
            </w:r>
            <w:r/>
          </w:p>
        </w:tc>
        <w:tc>
          <w:tcPr>
            <w:tcBorders>
              <w:bottom w:val="none" w:color="000000" w:sz="4" w:space="0"/>
            </w:tcBorders>
            <w:tcW w:w="2608" w:type="dxa"/>
            <w:textDirection w:val="lrTb"/>
            <w:noWrap w:val="false"/>
          </w:tcPr>
          <w:p>
            <w:pPr>
              <w:pStyle w:val="827"/>
            </w:pPr>
            <w:r>
              <w:rPr>
                <w:sz w:val="24"/>
              </w:rPr>
              <w:t xml:space="preserve">Развитие образования</w:t>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19 введен </w:t>
            </w:r>
            <w:r>
              <w:rPr>
                <w:sz w:val="24"/>
              </w:rPr>
              <w:t xml:space="preserve">приказом</w:t>
            </w:r>
            <w:r>
              <w:rPr>
                <w:sz w:val="24"/>
              </w:rPr>
              <w:t xml:space="preserve"> Минсоцполитики УР от 24.10.2022 N 192)</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20</w:t>
            </w:r>
            <w:r/>
          </w:p>
        </w:tc>
        <w:tc>
          <w:tcPr>
            <w:tcBorders>
              <w:bottom w:val="none" w:color="000000" w:sz="4" w:space="0"/>
            </w:tcBorders>
            <w:tcW w:w="3685" w:type="dxa"/>
            <w:textDirection w:val="lrTb"/>
            <w:noWrap w:val="false"/>
          </w:tcPr>
          <w:p>
            <w:pPr>
              <w:pStyle w:val="827"/>
            </w:pPr>
            <w:r>
              <w:rPr>
                <w:sz w:val="24"/>
              </w:rPr>
              <w:t xml:space="preserve">Реализация мероприятий за счет гранта, полученного от Фонда поддержки детей, находящихся в трудной жизненной ситуации</w:t>
            </w:r>
            <w:r/>
          </w:p>
        </w:tc>
        <w:tc>
          <w:tcPr>
            <w:tcBorders>
              <w:bottom w:val="none" w:color="000000" w:sz="4" w:space="0"/>
            </w:tcBorders>
            <w:tcW w:w="2268" w:type="dxa"/>
            <w:textDirection w:val="lrTb"/>
            <w:noWrap w:val="false"/>
          </w:tcPr>
          <w:p>
            <w:pPr>
              <w:pStyle w:val="827"/>
            </w:pPr>
            <w:r>
              <w:rPr>
                <w:sz w:val="24"/>
              </w:rPr>
              <w:t xml:space="preserve">Количество проведенных мероприятий (шт.)</w:t>
            </w:r>
            <w:r/>
          </w:p>
        </w:tc>
        <w:tc>
          <w:tcPr>
            <w:tcBorders>
              <w:bottom w:val="none" w:color="000000" w:sz="4" w:space="0"/>
            </w:tcBorders>
            <w:tcW w:w="2608" w:type="dxa"/>
            <w:textDirection w:val="lrTb"/>
            <w:noWrap w:val="false"/>
          </w:tcPr>
          <w:p>
            <w:pPr>
              <w:pStyle w:val="827"/>
            </w:pPr>
            <w:r>
              <w:rPr>
                <w:sz w:val="24"/>
              </w:rPr>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20 в ред. </w:t>
            </w:r>
            <w:r>
              <w:rPr>
                <w:sz w:val="24"/>
              </w:rPr>
              <w:t xml:space="preserve">приказа</w:t>
            </w:r>
            <w:r>
              <w:rPr>
                <w:sz w:val="24"/>
              </w:rPr>
              <w:t xml:space="preserve"> Минсоцполитики УР от 30.11.2023 N 196)</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21</w:t>
            </w:r>
            <w:r/>
          </w:p>
        </w:tc>
        <w:tc>
          <w:tcPr>
            <w:tcBorders>
              <w:bottom w:val="none" w:color="000000" w:sz="4" w:space="0"/>
            </w:tcBorders>
            <w:tcW w:w="3685" w:type="dxa"/>
            <w:textDirection w:val="lrTb"/>
            <w:noWrap w:val="false"/>
          </w:tcPr>
          <w:p>
            <w:pPr>
              <w:pStyle w:val="827"/>
            </w:pPr>
            <w:r>
              <w:rPr>
                <w:sz w:val="24"/>
              </w:rPr>
              <w:t xml:space="preserve">Реализация региональной программы по повышению рождаемости</w:t>
            </w:r>
            <w:r/>
          </w:p>
        </w:tc>
        <w:tc>
          <w:tcPr>
            <w:tcBorders>
              <w:bottom w:val="none" w:color="000000" w:sz="4" w:space="0"/>
            </w:tcBorders>
            <w:tcW w:w="2268" w:type="dxa"/>
            <w:textDirection w:val="lrTb"/>
            <w:noWrap w:val="false"/>
          </w:tcPr>
          <w:p>
            <w:pPr>
              <w:pStyle w:val="827"/>
            </w:pPr>
            <w:r>
              <w:rPr>
                <w:sz w:val="24"/>
              </w:rPr>
              <w:t xml:space="preserve">Семьи охвачены мерами поддержки в рамках региональных программ по повышению рождаемости (тыс. семей)</w:t>
            </w:r>
            <w:r/>
          </w:p>
        </w:tc>
        <w:tc>
          <w:tcPr>
            <w:tcBorders>
              <w:bottom w:val="none" w:color="000000" w:sz="4" w:space="0"/>
            </w:tcBorders>
            <w:tcW w:w="2608" w:type="dxa"/>
            <w:textDirection w:val="lrTb"/>
            <w:noWrap w:val="false"/>
          </w:tcPr>
          <w:p>
            <w:pPr>
              <w:pStyle w:val="827"/>
            </w:pPr>
            <w:r>
              <w:rPr>
                <w:sz w:val="24"/>
              </w:rPr>
              <w:t xml:space="preserve">Социальная поддержка граждан</w:t>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21 в ред. </w:t>
            </w:r>
            <w:r>
              <w:rPr>
                <w:sz w:val="24"/>
              </w:rPr>
              <w:t xml:space="preserve">приказа</w:t>
            </w:r>
            <w:r>
              <w:rPr>
                <w:sz w:val="24"/>
              </w:rPr>
              <w:t xml:space="preserve"> Минсоцполитики УР от 28.02.2025 N 30)</w:t>
            </w:r>
            <w:r/>
          </w:p>
        </w:tc>
      </w:tr>
      <w:tr>
        <w:tblPrEx>
          <w:tblBorders>
            <w:insideH w:val="none" w:color="000000" w:sz="4" w:space="0"/>
          </w:tblBorders>
        </w:tblPrEx>
        <w:trPr/>
        <w:tc>
          <w:tcPr>
            <w:tcBorders>
              <w:bottom w:val="none" w:color="000000" w:sz="4" w:space="0"/>
            </w:tcBorders>
            <w:tcW w:w="510" w:type="dxa"/>
            <w:textDirection w:val="lrTb"/>
            <w:noWrap w:val="false"/>
          </w:tcPr>
          <w:p>
            <w:pPr>
              <w:pStyle w:val="827"/>
              <w:jc w:val="center"/>
            </w:pPr>
            <w:r>
              <w:rPr>
                <w:sz w:val="24"/>
              </w:rPr>
              <w:t xml:space="preserve">22</w:t>
            </w:r>
            <w:r/>
          </w:p>
        </w:tc>
        <w:tc>
          <w:tcPr>
            <w:tcBorders>
              <w:bottom w:val="none" w:color="000000" w:sz="4" w:space="0"/>
            </w:tcBorders>
            <w:tcW w:w="3685" w:type="dxa"/>
            <w:textDirection w:val="lrTb"/>
            <w:noWrap w:val="false"/>
          </w:tcPr>
          <w:p>
            <w:pPr>
              <w:pStyle w:val="827"/>
            </w:pPr>
            <w:r>
              <w:rPr>
                <w:sz w:val="24"/>
              </w:rPr>
              <w:t xml:space="preserve">Реализация мероприятий по формированию системы комплексной реабилитации и абилитации инвалидов, в том числе детей-инвалидов</w:t>
            </w:r>
            <w:r/>
          </w:p>
        </w:tc>
        <w:tc>
          <w:tcPr>
            <w:tcBorders>
              <w:bottom w:val="none" w:color="000000" w:sz="4" w:space="0"/>
            </w:tcBorders>
            <w:tcW w:w="2268" w:type="dxa"/>
            <w:textDirection w:val="lrTb"/>
            <w:noWrap w:val="false"/>
          </w:tcPr>
          <w:p>
            <w:pPr>
              <w:pStyle w:val="827"/>
            </w:pPr>
            <w:r>
              <w:rPr>
                <w:sz w:val="24"/>
              </w:rPr>
              <w:t xml:space="preserve">В субъектах Российской Федерации проведены мероприятия, направленные на укрепление реабилитационной инфраструктуры (ед.)</w:t>
            </w:r>
            <w:r/>
          </w:p>
        </w:tc>
        <w:tc>
          <w:tcPr>
            <w:tcBorders>
              <w:bottom w:val="none" w:color="000000" w:sz="4" w:space="0"/>
            </w:tcBorders>
            <w:tcW w:w="2608" w:type="dxa"/>
            <w:textDirection w:val="lrTb"/>
            <w:noWrap w:val="false"/>
          </w:tcPr>
          <w:p>
            <w:pPr>
              <w:pStyle w:val="827"/>
            </w:pPr>
            <w:r>
              <w:rPr>
                <w:sz w:val="24"/>
              </w:rPr>
              <w:t xml:space="preserve">Доступная среда</w:t>
            </w:r>
            <w:r/>
          </w:p>
        </w:tc>
      </w:tr>
      <w:tr>
        <w:tblPrEx>
          <w:tblBorders>
            <w:insideH w:val="none" w:color="000000" w:sz="4" w:space="0"/>
          </w:tblBorders>
        </w:tblPrEx>
        <w:trPr/>
        <w:tc>
          <w:tcPr>
            <w:gridSpan w:val="4"/>
            <w:tcBorders>
              <w:top w:val="none" w:color="000000" w:sz="4" w:space="0"/>
            </w:tcBorders>
            <w:tcW w:w="9071" w:type="dxa"/>
            <w:textDirection w:val="lrTb"/>
            <w:noWrap w:val="false"/>
          </w:tcPr>
          <w:p>
            <w:pPr>
              <w:pStyle w:val="827"/>
              <w:jc w:val="both"/>
            </w:pPr>
            <w:r>
              <w:rPr>
                <w:sz w:val="24"/>
              </w:rPr>
              <w:t xml:space="preserve">(п. 22 введен </w:t>
            </w:r>
            <w:r>
              <w:rPr>
                <w:sz w:val="24"/>
              </w:rPr>
              <w:t xml:space="preserve">приказом</w:t>
            </w:r>
            <w:r>
              <w:rPr>
                <w:sz w:val="24"/>
              </w:rPr>
              <w:t xml:space="preserve"> Минсоцполитики УР от 28.02.2025 N 30)</w:t>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Приложение 2</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 Порядку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определения объема и условиям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предоставления субсидий на иные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цели бюджетным и автономным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учреждениям, подведомственным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Министерству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ОТЧЕТ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 расходах, источником финансового обеспечения которых</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является субсидия на иные цели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Утратил силу. -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Приложение 3</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 Порядку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определения объема и условиям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предоставления субсидий на иные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цели бюджетным и автономным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учреждениям, подведомственным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Министерству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ОТЧЕТ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 достижении результатов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на иные цели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Утратил силу. - </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Приказ</w:t>
      </w: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 Минсоцполитики УР от 19.07.2022 N 137.</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Приложение 4</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 Порядку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определения объема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 условиям предоставления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субсидий на иные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цели бюджетным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 автономным учреждениям,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подведомственным Министерству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tbl>
      <w:tblPr>
        <w:tblW w:w="5000" w:type="pct"/>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ook w:val="04A0" w:firstRow="1" w:lastRow="0" w:firstColumn="1" w:lastColumn="0" w:noHBand="0" w:noVBand="1"/>
      </w:tblPr>
      <w:tblGrid>
        <w:gridCol w:w="60"/>
        <w:gridCol w:w="113"/>
        <w:gridCol w:w="9921"/>
        <w:gridCol w:w="113"/>
      </w:tblGrid>
      <w:tr>
        <w:tblPrEx/>
        <w:trPr/>
        <w:tc>
          <w:tcPr>
            <w:shd w:val="clear" w:color="auto" w:fill="ced3f1"/>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60"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113" w:type="dxa"/>
              <w:right w:w="0" w:type="dxa"/>
              <w:bottom w:w="113" w:type="dxa"/>
            </w:tcMar>
            <w:tcW w:w="0" w:type="auto"/>
            <w:textDirection w:val="lrTb"/>
            <w:noWrap w:val="false"/>
          </w:tcPr>
          <w:p>
            <w:pPr>
              <w:pStyle w:val="827"/>
              <w:jc w:val="center"/>
            </w:pPr>
            <w:r>
              <w:rPr>
                <w:color w:val="392c69"/>
                <w:sz w:val="24"/>
              </w:rPr>
              <w:t xml:space="preserve">Список изменяющих документов</w:t>
            </w:r>
            <w:r/>
          </w:p>
          <w:p>
            <w:pPr>
              <w:pStyle w:val="827"/>
              <w:jc w:val="center"/>
            </w:pPr>
            <w:r>
              <w:rPr>
                <w:color w:val="392c69"/>
                <w:sz w:val="24"/>
              </w:rPr>
              <w:t xml:space="preserve">(введена </w:t>
            </w:r>
            <w:r>
              <w:rPr>
                <w:color w:val="392c69"/>
                <w:sz w:val="24"/>
              </w:rPr>
              <w:t xml:space="preserve">приказом</w:t>
            </w:r>
            <w:r>
              <w:rPr>
                <w:color w:val="392c69"/>
                <w:sz w:val="24"/>
              </w:rPr>
              <w:t xml:space="preserve"> Минсоцполитики УР от 20.09.2023 N 143)</w:t>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На бланке учреждения с указанием       Министру 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даты и исходящего номера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____________________________________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(Фамилия И.О.)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417" w:name="P417"/>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417"/>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Заявка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на предоставление субсидии на иные цели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Прошу предоставить субсидию на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___________________________________________________________________________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(цель предоставления субсидии)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в сумме ___________________________.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Подтверждаю,   что    сведения,   содержащиеся  в  заявке и прилагаемых</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документах (копиях документов), достоверны.</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Приложение: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1)</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2)</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Руководитель бюджетного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(автономного) учреждения        ________________ 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(подпись)       (расшифровка подписи)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"__" __________ 20__ г.</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Приложение 5</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к Порядку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определения объема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 условиям предоставления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субсидий на иные</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цели бюджетным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и автономным учреждениям,</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подведомственным Министерству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t xml:space="preserve">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tbl>
      <w:tblPr>
        <w:tblW w:w="5000" w:type="pct"/>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ook w:val="04A0" w:firstRow="1" w:lastRow="0" w:firstColumn="1" w:lastColumn="0" w:noHBand="0" w:noVBand="1"/>
      </w:tblPr>
      <w:tblGrid>
        <w:gridCol w:w="60"/>
        <w:gridCol w:w="113"/>
        <w:gridCol w:w="9921"/>
        <w:gridCol w:w="113"/>
      </w:tblGrid>
      <w:tr>
        <w:tblPrEx/>
        <w:trPr/>
        <w:tc>
          <w:tcPr>
            <w:shd w:val="clear" w:color="auto" w:fill="ced3f1"/>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60"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113" w:type="dxa"/>
              <w:right w:w="0" w:type="dxa"/>
              <w:bottom w:w="113" w:type="dxa"/>
            </w:tcMar>
            <w:tcW w:w="0" w:type="auto"/>
            <w:textDirection w:val="lrTb"/>
            <w:noWrap w:val="false"/>
          </w:tcPr>
          <w:p>
            <w:pPr>
              <w:pStyle w:val="827"/>
              <w:jc w:val="center"/>
            </w:pPr>
            <w:r>
              <w:rPr>
                <w:color w:val="392c69"/>
                <w:sz w:val="24"/>
              </w:rPr>
              <w:t xml:space="preserve">Список изменяющих документов</w:t>
            </w:r>
            <w:r/>
          </w:p>
          <w:p>
            <w:pPr>
              <w:pStyle w:val="827"/>
              <w:jc w:val="center"/>
            </w:pPr>
            <w:r>
              <w:rPr>
                <w:color w:val="392c69"/>
                <w:sz w:val="24"/>
              </w:rPr>
              <w:t xml:space="preserve">(введена </w:t>
            </w:r>
            <w:r>
              <w:rPr>
                <w:color w:val="392c69"/>
                <w:sz w:val="24"/>
              </w:rPr>
              <w:t xml:space="preserve">приказом</w:t>
            </w:r>
            <w:r>
              <w:rPr>
                <w:color w:val="392c69"/>
                <w:sz w:val="24"/>
              </w:rPr>
              <w:t xml:space="preserve"> Минсоцполитики УР от 20.09.2023 N 143)</w:t>
            </w:r>
            <w:r/>
          </w:p>
        </w:tc>
        <w:tc>
          <w:tcPr>
            <w:shd w:val="clear" w:color="auto" w:fill="f4f3f8"/>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113" w:type="dxa"/>
            <w:textDirection w:val="lrTb"/>
            <w:noWrap w:val="false"/>
          </w:tcPr>
          <w:p>
            <w:r/>
            <w:r/>
          </w:p>
        </w:tc>
      </w:tr>
    </w:tbl>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На бланке учреждения с указанием       Министру социальной политики и труда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даты и исходящего номера                              Удмуртской Республики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____________________________________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(Фамилия И.О.)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Start w:id="458" w:name="P458"/>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bookmarkEnd w:id="458"/>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СПРАВКА</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___________________________________________________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(наименование бюджетного (автономного) учреждения)</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подтверждает, что по состоянию на "__" _________ 20__ г. 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____________________________________ просроченную задолженность по возврату</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(не имеет/ имеет)</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в   бюджет   Удмуртской   Республики,   субсидий,   бюджетных   инвестиций,</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представленных в том числе в соответствии с иными правовыми актами.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Руководитель бюджетного</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(автономного) учреждения  ___________________ _____________________________</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                               (подпись)          (расшифровка подписи)</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t xml:space="preserve">"__" __________ 20__ г.</w:t>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4"/>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
          <w:szCs w:val="2"/>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
          <w:szCs w:val="2"/>
          <w:highlight w:val="none"/>
          <w:u w:val="none"/>
          <w:vertAlign w:val="baseline"/>
          <w:rtl w:val="0"/>
          <w:cs w:val="0"/>
          <w14:ligatures w14:val="none"/>
        </w:rPr>
      </w:r>
    </w:p>
    <w:sectPr>
      <w:headerReference w:type="default" r:id="rId8"/>
      <w:headerReference w:type="first" r:id="rId9"/>
      <w:footerReference w:type="default" r:id="rId10"/>
      <w:footerReference w:type="first" r:id="rId11"/>
      <w:footnotePr/>
      <w:endnotePr/>
      <w:type w:val="nextPage"/>
      <w:pgSz w:w="11906" w:h="16838" w:orient="portrait"/>
      <w:pgMar w:top="1440" w:right="566" w:bottom="1440" w:left="1133" w:header="0" w:footer="0" w:gutter="0"/>
      <w:cols w:num="1" w:sep="0" w:space="1701"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separato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endnote>
  <w:endnote w:type="continuationSeparator" w:id="0">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continuationSeparato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6030504020204"/>
  </w:font>
  <w:font w:name="Courier New">
    <w:panose1 w:val="02070409020205020404"/>
  </w:font>
  <w:font w:name="Times New Roman">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rPr>
        <w:sz w:val="2"/>
        <w:szCs w:val="2"/>
      </w:rPr>
      <w:pBdr>
        <w:bottom w:val="single" w:color="000000" w:sz="12" w:space="0"/>
      </w:pBdr>
    </w:pPr>
    <w:r>
      <w:rPr>
        <w:sz w:val="2"/>
        <w:szCs w:val="2"/>
      </w:rPr>
    </w:r>
    <w:r>
      <w:rPr>
        <w:sz w:val="2"/>
        <w:szCs w:val="2"/>
      </w:rPr>
    </w:r>
  </w:p>
  <w:tbl>
    <w:tblPr>
      <w:tblW w:w="5000" w:type="pct"/>
      <w:tblInd w:w="0" w:type="dxa"/>
      <w:tblCellMar>
        <w:left w:w="40" w:type="dxa"/>
        <w:right w:w="40" w:type="dxa"/>
      </w:tblCellMar>
      <w:tblLook w:val="0000" w:firstRow="0" w:lastRow="0" w:firstColumn="0" w:lastColumn="0" w:noHBand="0" w:noVBand="0"/>
    </w:tblPr>
    <w:tblGrid>
      <w:gridCol w:w="1"/>
      <w:gridCol w:w="1"/>
      <w:gridCol w:w="1"/>
    </w:tblGrid>
    <w:tr>
      <w:tblPrEx/>
      <w:trPr>
        <w:trHeight w:val="1663" w:hRule="exact"/>
      </w:trPr>
      <w:tc>
        <w:tcPr>
          <w:tcW w:w="1650" w:type="pct"/>
          <w:vAlign w:val="center"/>
          <w:textDirection w:val="lrTb"/>
          <w:noWrap w:val="false"/>
        </w:tcPr>
        <w:p>
          <w:r>
            <w:rPr>
              <w:rFonts w:ascii="Tahoma" w:hAnsi="Tahoma" w:cs="Tahoma"/>
              <w:b/>
              <w:color w:val="f58220"/>
              <w:sz w:val="28"/>
              <w:szCs w:val="28"/>
            </w:rPr>
            <w:t xml:space="preserve">КонсультантПлюс</w:t>
          </w:r>
          <w:r>
            <w:rPr>
              <w:rFonts w:ascii="Tahoma" w:hAnsi="Tahoma" w:cs="Tahoma"/>
              <w:b/>
              <w:sz w:val="16"/>
              <w:szCs w:val="16"/>
            </w:rPr>
            <w:br/>
            <w:t xml:space="preserve">надежная правовая поддержка</w:t>
          </w:r>
          <w:r/>
        </w:p>
      </w:tc>
      <w:tc>
        <w:tcPr>
          <w:tcW w:w="1700" w:type="pct"/>
          <w:vAlign w:val="center"/>
          <w:textDirection w:val="lrTb"/>
          <w:noWrap w:val="false"/>
        </w:tcPr>
        <w:p>
          <w:pPr>
            <w:jc w:val="center"/>
          </w:pPr>
          <w:r/>
          <w:hyperlink r:id="rId1" w:tooltip="https://www.consultant.ru" w:history="1">
            <w:r>
              <w:rPr>
                <w:rFonts w:ascii="Tahoma" w:hAnsi="Tahoma" w:cs="Tahoma"/>
                <w:b/>
                <w:color w:val="0000ff"/>
              </w:rPr>
              <w:t xml:space="preserve">www.consultant.ru</w:t>
            </w:r>
          </w:hyperlink>
          <w:r/>
          <w:r/>
        </w:p>
      </w:tc>
      <w:tc>
        <w:tcPr>
          <w:tcW w:w="1650" w:type="pct"/>
          <w:vAlign w:val="center"/>
          <w:textDirection w:val="lrTb"/>
          <w:noWrap w:val="false"/>
        </w:tcPr>
        <w:p>
          <w:pPr>
            <w:jc w:val="right"/>
          </w:pPr>
          <w:r>
            <w:rPr>
              <w:rFonts w:ascii="Tahoma" w:hAnsi="Tahoma" w:cs="Tahoma"/>
            </w:rPr>
            <w:t xml:space="preserve">Страница </w:t>
          </w:r>
          <w:r>
            <w:fldChar w:fldCharType="begin"/>
          </w:r>
          <w:r>
            <w:rPr>
              <w:rFonts w:ascii="Tahoma" w:hAnsi="Tahoma" w:cs="Tahoma"/>
            </w:rPr>
            <w:instrText xml:space="preserve">PAGE</w:instrText>
          </w:r>
          <w:r>
            <w:fldChar w:fldCharType="separate"/>
          </w:r>
          <w:r>
            <w:rPr>
              <w:rFonts w:ascii="Tahoma" w:hAnsi="Tahoma" w:cs="Tahoma"/>
            </w:rPr>
            <w:t xml:space="preserve">5</w:t>
          </w:r>
          <w:r>
            <w:fldChar w:fldCharType="end"/>
          </w:r>
          <w:r>
            <w:rPr>
              <w:rFonts w:ascii="Tahoma" w:hAnsi="Tahoma" w:cs="Tahoma"/>
            </w:rPr>
            <w:t xml:space="preserve"> из </w:t>
          </w:r>
          <w:r>
            <w:fldChar w:fldCharType="begin"/>
          </w:r>
          <w:r>
            <w:rPr>
              <w:rFonts w:ascii="Tahoma" w:hAnsi="Tahoma" w:cs="Tahoma"/>
            </w:rPr>
            <w:instrText xml:space="preserve">NUMPAGES</w:instrText>
          </w:r>
          <w:r>
            <w:fldChar w:fldCharType="separate"/>
          </w:r>
          <w:r>
            <w:rPr>
              <w:rFonts w:ascii="Tahoma" w:hAnsi="Tahoma" w:cs="Tahoma"/>
            </w:rPr>
            <w:t xml:space="preserve">5</w:t>
          </w:r>
          <w:r>
            <w:fldChar w:fldCharType="end"/>
          </w:r>
          <w:r/>
        </w:p>
      </w:tc>
    </w:tr>
  </w:tbl>
  <w:p>
    <w:r>
      <w:rPr>
        <w:sz w:val="2"/>
        <w:szCs w:val="2"/>
      </w:rPr>
      <w:t xml:space="preserve">1</w:t>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rPr>
        <w:sz w:val="2"/>
        <w:szCs w:val="2"/>
      </w:rPr>
      <w:pBdr>
        <w:bottom w:val="single" w:color="000000" w:sz="12" w:space="0"/>
      </w:pBdr>
    </w:pPr>
    <w:r>
      <w:rPr>
        <w:sz w:val="2"/>
        <w:szCs w:val="2"/>
      </w:rPr>
    </w:r>
    <w:r>
      <w:rPr>
        <w:sz w:val="2"/>
        <w:szCs w:val="2"/>
      </w:rPr>
    </w:r>
  </w:p>
  <w:tbl>
    <w:tblPr>
      <w:tblW w:w="5000" w:type="pct"/>
      <w:tblInd w:w="0" w:type="dxa"/>
      <w:tblCellMar>
        <w:left w:w="40" w:type="dxa"/>
        <w:right w:w="40" w:type="dxa"/>
      </w:tblCellMar>
      <w:tblLook w:val="0000" w:firstRow="0" w:lastRow="0" w:firstColumn="0" w:lastColumn="0" w:noHBand="0" w:noVBand="0"/>
    </w:tblPr>
    <w:tblGrid>
      <w:gridCol w:w="1"/>
      <w:gridCol w:w="1"/>
      <w:gridCol w:w="1"/>
    </w:tblGrid>
    <w:tr>
      <w:tblPrEx/>
      <w:trPr>
        <w:trHeight w:val="1663" w:hRule="exact"/>
      </w:trPr>
      <w:tc>
        <w:tcPr>
          <w:tcW w:w="1650" w:type="pct"/>
          <w:vAlign w:val="center"/>
          <w:textDirection w:val="lrTb"/>
          <w:noWrap w:val="false"/>
        </w:tcPr>
        <w:p>
          <w:r>
            <w:rPr>
              <w:rFonts w:ascii="Tahoma" w:hAnsi="Tahoma" w:cs="Tahoma"/>
              <w:b/>
              <w:color w:val="f58220"/>
              <w:sz w:val="28"/>
              <w:szCs w:val="28"/>
            </w:rPr>
            <w:t xml:space="preserve">КонсультантПлюс</w:t>
          </w:r>
          <w:r>
            <w:rPr>
              <w:rFonts w:ascii="Tahoma" w:hAnsi="Tahoma" w:cs="Tahoma"/>
              <w:b/>
              <w:sz w:val="16"/>
              <w:szCs w:val="16"/>
            </w:rPr>
            <w:br/>
            <w:t xml:space="preserve">надежная правовая поддержка</w:t>
          </w:r>
          <w:r/>
        </w:p>
      </w:tc>
      <w:tc>
        <w:tcPr>
          <w:tcW w:w="1700" w:type="pct"/>
          <w:vAlign w:val="center"/>
          <w:textDirection w:val="lrTb"/>
          <w:noWrap w:val="false"/>
        </w:tcPr>
        <w:p>
          <w:pPr>
            <w:jc w:val="center"/>
          </w:pPr>
          <w:r/>
          <w:hyperlink r:id="rId1" w:tooltip="https://www.consultant.ru" w:history="1">
            <w:r>
              <w:rPr>
                <w:rFonts w:ascii="Tahoma" w:hAnsi="Tahoma" w:cs="Tahoma"/>
                <w:b/>
                <w:color w:val="0000ff"/>
              </w:rPr>
              <w:t xml:space="preserve">www.consultant.ru</w:t>
            </w:r>
          </w:hyperlink>
          <w:r/>
          <w:r/>
        </w:p>
      </w:tc>
      <w:tc>
        <w:tcPr>
          <w:tcW w:w="1650" w:type="pct"/>
          <w:vAlign w:val="center"/>
          <w:textDirection w:val="lrTb"/>
          <w:noWrap w:val="false"/>
        </w:tcPr>
        <w:p>
          <w:pPr>
            <w:jc w:val="right"/>
          </w:pPr>
          <w:r>
            <w:rPr>
              <w:rFonts w:ascii="Tahoma" w:hAnsi="Tahoma" w:cs="Tahoma"/>
            </w:rPr>
            <w:t xml:space="preserve">Страница </w:t>
          </w:r>
          <w:r>
            <w:fldChar w:fldCharType="begin"/>
          </w:r>
          <w:r>
            <w:rPr>
              <w:rFonts w:ascii="Tahoma" w:hAnsi="Tahoma" w:cs="Tahoma"/>
            </w:rPr>
            <w:instrText xml:space="preserve">PAGE</w:instrText>
          </w:r>
          <w:r>
            <w:fldChar w:fldCharType="separate"/>
          </w:r>
          <w:r>
            <w:rPr>
              <w:rFonts w:ascii="Tahoma" w:hAnsi="Tahoma" w:cs="Tahoma"/>
            </w:rPr>
            <w:t xml:space="preserve">5</w:t>
          </w:r>
          <w:r>
            <w:fldChar w:fldCharType="end"/>
          </w:r>
          <w:r>
            <w:rPr>
              <w:rFonts w:ascii="Tahoma" w:hAnsi="Tahoma" w:cs="Tahoma"/>
            </w:rPr>
            <w:t xml:space="preserve"> из </w:t>
          </w:r>
          <w:r>
            <w:fldChar w:fldCharType="begin"/>
          </w:r>
          <w:r>
            <w:rPr>
              <w:rFonts w:ascii="Tahoma" w:hAnsi="Tahoma" w:cs="Tahoma"/>
            </w:rPr>
            <w:instrText xml:space="preserve">NUMPAGES</w:instrText>
          </w:r>
          <w:r>
            <w:fldChar w:fldCharType="separate"/>
          </w:r>
          <w:r>
            <w:rPr>
              <w:rFonts w:ascii="Tahoma" w:hAnsi="Tahoma" w:cs="Tahoma"/>
            </w:rPr>
            <w:t xml:space="preserve">5</w:t>
          </w:r>
          <w:r>
            <w:fldChar w:fldCharType="end"/>
          </w:r>
          <w:r/>
        </w:p>
      </w:tc>
    </w:tr>
  </w:tbl>
  <w:p>
    <w:r>
      <w:rPr>
        <w:sz w:val="2"/>
        <w:szCs w:val="2"/>
      </w:rPr>
      <w:t xml:space="preserve">1</w:t>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separato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footnote>
  <w:footnote w:type="continuationSeparator" w:id="0">
    <w:p>
      <w:pPr>
        <w:contextualSpacing w:val="0"/>
        <w:ind w:left="0" w:right="0" w:firstLine="0"/>
        <w:jc w:val="left"/>
        <w:keepLines w:val="0"/>
        <w:keepNext w:val="0"/>
        <w:pageBreakBefore w:val="0"/>
        <w:spacing w:before="0" w:beforeAutospacing="0" w:after="0" w:afterAutospacing="0" w:line="240" w:lineRule="auto"/>
        <w:shd w:val="nil" w:color="ffffff"/>
        <w:widowControl/>
        <w:rPr>
          <w:rFonts w:hint="default"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lang w:val="en-US" w:eastAsia="zh-CN" w:bidi="ar-SA"/>
          <w14:ligatures w14:val="none"/>
        </w:rPr>
        <w:pBdr>
          <w:top w:val="none" w:color="000000" w:sz="4" w:space="0"/>
          <w:left w:val="none" w:color="000000" w:sz="4" w:space="0"/>
          <w:bottom w:val="none" w:color="000000" w:sz="4" w:space="0"/>
          <w:right w:val="none" w:color="000000" w:sz="4" w:space="0"/>
          <w:between w:val="none" w:color="000000" w:sz="4" w:space="0"/>
        </w:pBdr>
        <w:suppressLineNumbers w:val="0"/>
      </w:pP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continuationSeparator/>
      </w:r>
      <w:r>
        <w:rPr>
          <w:rFonts w:ascii="Times New Roman" w:hAnsi="Times New Roman" w:eastAsia="Times New Roman" w:cs="Times New Roman"/>
          <w:b w:val="0"/>
          <w:bCs w:val="0"/>
          <w:i w:val="0"/>
          <w:iCs w:val="0"/>
          <w:caps w:val="0"/>
          <w:smallCaps w:val="0"/>
          <w:strike w:val="0"/>
          <w:vanish w:val="0"/>
          <w:color w:val="auto"/>
          <w:spacing w:val="0"/>
          <w:position w:val="0"/>
          <w:sz w:val="20"/>
          <w:szCs w:val="20"/>
          <w:highlight w:val="none"/>
          <w:u w:val="none"/>
          <w:vertAlign w:val="baseline"/>
          <w:rtl w:val="0"/>
          <w:cs w:val="0"/>
          <w14:ligatures w14:val="none"/>
        </w:rP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tbl>
    <w:tblPr>
      <w:tblW w:w="5000" w:type="pct"/>
      <w:tblInd w:w="0" w:type="dxa"/>
      <w:tblLayout w:type="fixed"/>
      <w:tblCellMar>
        <w:left w:w="40" w:type="dxa"/>
        <w:right w:w="40" w:type="dxa"/>
      </w:tblCellMar>
      <w:tblLook w:val="04A0" w:firstRow="1" w:lastRow="0" w:firstColumn="1" w:lastColumn="0" w:noHBand="0" w:noVBand="1"/>
    </w:tblPr>
    <w:tblGrid>
      <w:gridCol w:w="1"/>
      <w:gridCol w:w="1"/>
    </w:tblGrid>
    <w:tr>
      <w:tblPrEx/>
      <w:trPr>
        <w:trHeight w:val="1683" w:hRule="exact"/>
      </w:trPr>
      <w:tc>
        <w:tcPr>
          <w:tcW w:w="2700" w:type="pct"/>
          <w:vAlign w:val="center"/>
          <w:textDirection w:val="lrTb"/>
          <w:noWrap w:val="false"/>
        </w:tcPr>
        <w:p>
          <w:pPr>
            <w:rPr>
              <w:rFonts w:ascii="Tahoma" w:hAnsi="Tahoma" w:cs="Tahoma"/>
            </w:rPr>
          </w:pPr>
          <w:r>
            <w:rPr>
              <w:rFonts w:ascii="Tahoma" w:hAnsi="Tahoma" w:cs="Tahoma"/>
              <w:sz w:val="16"/>
              <w:szCs w:val="16"/>
            </w:rPr>
            <w:t xml:space="preserve">Приказ Минсоцполитики УР от 28.12.2020 N 379</w:t>
            <w:br/>
            <w:t xml:space="preserve">(ред. от 28.02.2025)</w:t>
            <w:br/>
            <w:t xml:space="preserve">"Об утверждении Порядка определения объема и условий п...</w:t>
          </w:r>
          <w:r>
            <w:rPr>
              <w:rFonts w:ascii="Tahoma" w:hAnsi="Tahoma" w:cs="Tahoma"/>
            </w:rPr>
          </w:r>
        </w:p>
      </w:tc>
      <w:tc>
        <w:tcPr>
          <w:tcW w:w="2300" w:type="pct"/>
          <w:vAlign w:val="center"/>
          <w:textDirection w:val="lrTb"/>
          <w:noWrap w:val="false"/>
        </w:tcPr>
        <w:p>
          <w:pPr>
            <w:jc w:val="right"/>
            <w:rPr>
              <w:rFonts w:ascii="Tahoma" w:hAnsi="Tahoma" w:cs="Tahoma"/>
            </w:rPr>
          </w:pPr>
          <w:r>
            <w:rPr>
              <w:rFonts w:ascii="Tahoma" w:hAnsi="Tahoma" w:cs="Tahoma"/>
              <w:sz w:val="18"/>
              <w:szCs w:val="18"/>
            </w:rPr>
            <w:t xml:space="preserve">Документ предоставлен </w:t>
          </w:r>
          <w:hyperlink r:id="rId1" w:tooltip="КонсультантПлюс - надежная правовая система" w:history="1">
            <w:r>
              <w:rPr>
                <w:rFonts w:ascii="Tahoma" w:hAnsi="Tahoma" w:cs="Tahoma"/>
                <w:color w:val="0000ff"/>
                <w:sz w:val="18"/>
                <w:szCs w:val="18"/>
              </w:rPr>
              <w:t xml:space="preserve">КонсультантПлюс</w:t>
            </w:r>
          </w:hyperlink>
          <w:r>
            <w:rPr>
              <w:rFonts w:ascii="Tahoma" w:hAnsi="Tahoma" w:cs="Tahoma"/>
              <w:sz w:val="18"/>
              <w:szCs w:val="18"/>
            </w:rPr>
            <w:br/>
          </w:r>
          <w:r>
            <w:rPr>
              <w:rFonts w:ascii="Tahoma" w:hAnsi="Tahoma" w:cs="Tahoma"/>
              <w:sz w:val="16"/>
              <w:szCs w:val="16"/>
            </w:rPr>
            <w:t xml:space="preserve">Дата сохранения: 18.03.2025</w:t>
          </w:r>
          <w:r>
            <w:rPr>
              <w:rFonts w:ascii="Tahoma" w:hAnsi="Tahoma" w:cs="Tahoma"/>
            </w:rPr>
          </w:r>
        </w:p>
      </w:tc>
    </w:tr>
  </w:tbl>
  <w:p>
    <w:pPr>
      <w:rPr>
        <w:sz w:val="2"/>
        <w:szCs w:val="2"/>
      </w:rPr>
      <w:pBdr>
        <w:bottom w:val="single" w:color="000000" w:sz="12" w:space="0"/>
      </w:pBdr>
    </w:pPr>
    <w:r>
      <w:rPr>
        <w:sz w:val="2"/>
        <w:szCs w:val="2"/>
      </w:rPr>
    </w:r>
    <w:r>
      <w:rPr>
        <w:sz w:val="2"/>
        <w:szCs w:val="2"/>
      </w:rPr>
    </w:r>
  </w:p>
  <w:p>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tbl>
    <w:tblPr>
      <w:tblW w:w="5000" w:type="pct"/>
      <w:tblInd w:w="0" w:type="dxa"/>
      <w:tblLayout w:type="fixed"/>
      <w:tblCellMar>
        <w:left w:w="40" w:type="dxa"/>
        <w:right w:w="40" w:type="dxa"/>
      </w:tblCellMar>
      <w:tblLook w:val="04A0" w:firstRow="1" w:lastRow="0" w:firstColumn="1" w:lastColumn="0" w:noHBand="0" w:noVBand="1"/>
    </w:tblPr>
    <w:tblGrid>
      <w:gridCol w:w="1"/>
      <w:gridCol w:w="1"/>
    </w:tblGrid>
    <w:tr>
      <w:tblPrEx/>
      <w:trPr>
        <w:trHeight w:val="1683" w:hRule="exact"/>
      </w:trPr>
      <w:tc>
        <w:tcPr>
          <w:tcW w:w="2700" w:type="pct"/>
          <w:vAlign w:val="center"/>
          <w:textDirection w:val="lrTb"/>
          <w:noWrap w:val="false"/>
        </w:tcPr>
        <w:p>
          <w:pPr>
            <w:rPr>
              <w:rFonts w:ascii="Tahoma" w:hAnsi="Tahoma" w:cs="Tahoma"/>
            </w:rPr>
          </w:pPr>
          <w:r>
            <w:rPr>
              <w:rFonts w:ascii="Tahoma" w:hAnsi="Tahoma" w:cs="Tahoma"/>
              <w:sz w:val="16"/>
              <w:szCs w:val="16"/>
            </w:rPr>
            <w:t xml:space="preserve">Приказ Минсоцполитики УР от 28.12.2020 N 379</w:t>
            <w:br/>
            <w:t xml:space="preserve">(ред. от 28.02.2025)</w:t>
            <w:br/>
            <w:t xml:space="preserve">"Об утверждении Порядка определения объема и условий п...</w:t>
          </w:r>
          <w:r>
            <w:rPr>
              <w:rFonts w:ascii="Tahoma" w:hAnsi="Tahoma" w:cs="Tahoma"/>
            </w:rPr>
          </w:r>
        </w:p>
      </w:tc>
      <w:tc>
        <w:tcPr>
          <w:tcW w:w="2300" w:type="pct"/>
          <w:vAlign w:val="center"/>
          <w:textDirection w:val="lrTb"/>
          <w:noWrap w:val="false"/>
        </w:tcPr>
        <w:p>
          <w:pPr>
            <w:jc w:val="right"/>
            <w:rPr>
              <w:rFonts w:ascii="Tahoma" w:hAnsi="Tahoma" w:cs="Tahoma"/>
            </w:rPr>
          </w:pPr>
          <w:r>
            <w:rPr>
              <w:rFonts w:ascii="Tahoma" w:hAnsi="Tahoma" w:cs="Tahoma"/>
              <w:sz w:val="18"/>
              <w:szCs w:val="18"/>
            </w:rPr>
            <w:t xml:space="preserve">Документ предоставлен </w:t>
          </w:r>
          <w:hyperlink r:id="rId1" w:tooltip="КонсультантПлюс - надежная правовая система" w:history="1">
            <w:r>
              <w:rPr>
                <w:rFonts w:ascii="Tahoma" w:hAnsi="Tahoma" w:cs="Tahoma"/>
                <w:color w:val="0000ff"/>
                <w:sz w:val="18"/>
                <w:szCs w:val="18"/>
              </w:rPr>
              <w:t xml:space="preserve">КонсультантПлюс</w:t>
            </w:r>
          </w:hyperlink>
          <w:r>
            <w:rPr>
              <w:rFonts w:ascii="Tahoma" w:hAnsi="Tahoma" w:cs="Tahoma"/>
              <w:sz w:val="18"/>
              <w:szCs w:val="18"/>
            </w:rPr>
            <w:br/>
          </w:r>
          <w:r>
            <w:rPr>
              <w:rFonts w:ascii="Tahoma" w:hAnsi="Tahoma" w:cs="Tahoma"/>
              <w:sz w:val="16"/>
              <w:szCs w:val="16"/>
            </w:rPr>
            <w:t xml:space="preserve">Дата сохранения: 18.03.2025</w:t>
          </w:r>
          <w:r>
            <w:rPr>
              <w:rFonts w:ascii="Tahoma" w:hAnsi="Tahoma" w:cs="Tahoma"/>
            </w:rPr>
          </w:r>
        </w:p>
      </w:tc>
    </w:tr>
  </w:tbl>
  <w:p>
    <w:pPr>
      <w:rPr>
        <w:sz w:val="2"/>
        <w:szCs w:val="2"/>
      </w:rPr>
      <w:pBdr>
        <w:bottom w:val="single" w:color="000000" w:sz="12" w:space="0"/>
      </w:pBdr>
    </w:pPr>
    <w:r>
      <w:rPr>
        <w:sz w:val="2"/>
        <w:szCs w:val="2"/>
      </w:rPr>
    </w:r>
    <w:r>
      <w:rPr>
        <w:sz w:val="2"/>
        <w:szCs w:val="2"/>
      </w:rPr>
    </w:r>
  </w:p>
  <w:p>
    <w: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9"/>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0">
    <w:name w:val="Normal"/>
    <w:qFormat/>
  </w:style>
  <w:style w:type="paragraph" w:styleId="13">
    <w:name w:val="Heading 1"/>
    <w:basedOn w:val="10"/>
    <w:next w:val="10"/>
    <w:link w:val="14"/>
    <w:uiPriority w:val="9"/>
    <w:qFormat/>
    <w:pPr>
      <w:keepLines/>
      <w:keepNext/>
      <w:spacing w:before="480" w:after="200"/>
      <w:outlineLvl w:val="0"/>
    </w:pPr>
    <w:rPr>
      <w:rFonts w:ascii="Arial" w:hAnsi="Arial" w:eastAsia="Arial" w:cs="Arial"/>
      <w:sz w:val="40"/>
      <w:szCs w:val="40"/>
    </w:rPr>
  </w:style>
  <w:style w:type="character" w:styleId="14">
    <w:name w:val="Heading 1 Char"/>
    <w:basedOn w:val="11"/>
    <w:link w:val="13"/>
    <w:uiPriority w:val="9"/>
    <w:rPr>
      <w:rFonts w:ascii="Arial" w:hAnsi="Arial" w:eastAsia="Arial" w:cs="Arial"/>
      <w:sz w:val="40"/>
      <w:szCs w:val="40"/>
    </w:rPr>
  </w:style>
  <w:style w:type="paragraph" w:styleId="15">
    <w:name w:val="Heading 2"/>
    <w:basedOn w:val="10"/>
    <w:next w:val="10"/>
    <w:link w:val="16"/>
    <w:uiPriority w:val="9"/>
    <w:unhideWhenUsed/>
    <w:qFormat/>
    <w:pPr>
      <w:keepLines/>
      <w:keepNext/>
      <w:spacing w:before="360" w:after="200"/>
      <w:outlineLvl w:val="1"/>
    </w:pPr>
    <w:rPr>
      <w:rFonts w:ascii="Arial" w:hAnsi="Arial" w:eastAsia="Arial" w:cs="Arial"/>
      <w:sz w:val="34"/>
    </w:rPr>
  </w:style>
  <w:style w:type="character" w:styleId="16">
    <w:name w:val="Heading 2 Char"/>
    <w:basedOn w:val="11"/>
    <w:link w:val="15"/>
    <w:uiPriority w:val="9"/>
    <w:rPr>
      <w:rFonts w:ascii="Arial" w:hAnsi="Arial" w:eastAsia="Arial" w:cs="Arial"/>
      <w:sz w:val="34"/>
    </w:rPr>
  </w:style>
  <w:style w:type="paragraph" w:styleId="17">
    <w:name w:val="Heading 3"/>
    <w:basedOn w:val="10"/>
    <w:next w:val="10"/>
    <w:link w:val="18"/>
    <w:uiPriority w:val="9"/>
    <w:unhideWhenUsed/>
    <w:qFormat/>
    <w:pPr>
      <w:keepLines/>
      <w:keepNext/>
      <w:spacing w:before="320" w:after="200"/>
      <w:outlineLvl w:val="2"/>
    </w:pPr>
    <w:rPr>
      <w:rFonts w:ascii="Arial" w:hAnsi="Arial" w:eastAsia="Arial" w:cs="Arial"/>
      <w:sz w:val="30"/>
      <w:szCs w:val="30"/>
    </w:rPr>
  </w:style>
  <w:style w:type="character" w:styleId="18">
    <w:name w:val="Heading 3 Char"/>
    <w:basedOn w:val="11"/>
    <w:link w:val="17"/>
    <w:uiPriority w:val="9"/>
    <w:rPr>
      <w:rFonts w:ascii="Arial" w:hAnsi="Arial" w:eastAsia="Arial" w:cs="Arial"/>
      <w:sz w:val="30"/>
      <w:szCs w:val="30"/>
    </w:rPr>
  </w:style>
  <w:style w:type="paragraph" w:styleId="19">
    <w:name w:val="Heading 4"/>
    <w:basedOn w:val="10"/>
    <w:next w:val="10"/>
    <w:link w:val="20"/>
    <w:uiPriority w:val="9"/>
    <w:unhideWhenUsed/>
    <w:qFormat/>
    <w:pPr>
      <w:keepLines/>
      <w:keepNext/>
      <w:spacing w:before="320" w:after="200"/>
      <w:outlineLvl w:val="3"/>
    </w:pPr>
    <w:rPr>
      <w:rFonts w:ascii="Arial" w:hAnsi="Arial" w:eastAsia="Arial" w:cs="Arial"/>
      <w:b/>
      <w:bCs/>
      <w:sz w:val="26"/>
      <w:szCs w:val="26"/>
    </w:rPr>
  </w:style>
  <w:style w:type="character" w:styleId="20">
    <w:name w:val="Heading 4 Char"/>
    <w:basedOn w:val="11"/>
    <w:link w:val="19"/>
    <w:uiPriority w:val="9"/>
    <w:rPr>
      <w:rFonts w:ascii="Arial" w:hAnsi="Arial" w:eastAsia="Arial" w:cs="Arial"/>
      <w:b/>
      <w:bCs/>
      <w:sz w:val="26"/>
      <w:szCs w:val="26"/>
    </w:rPr>
  </w:style>
  <w:style w:type="paragraph" w:styleId="21">
    <w:name w:val="Heading 5"/>
    <w:basedOn w:val="10"/>
    <w:next w:val="10"/>
    <w:link w:val="22"/>
    <w:uiPriority w:val="9"/>
    <w:unhideWhenUsed/>
    <w:qFormat/>
    <w:pPr>
      <w:keepLines/>
      <w:keepNext/>
      <w:spacing w:before="320" w:after="200"/>
      <w:outlineLvl w:val="4"/>
    </w:pPr>
    <w:rPr>
      <w:rFonts w:ascii="Arial" w:hAnsi="Arial" w:eastAsia="Arial" w:cs="Arial"/>
      <w:b/>
      <w:bCs/>
      <w:sz w:val="24"/>
      <w:szCs w:val="24"/>
    </w:rPr>
  </w:style>
  <w:style w:type="character" w:styleId="22">
    <w:name w:val="Heading 5 Char"/>
    <w:basedOn w:val="11"/>
    <w:link w:val="21"/>
    <w:uiPriority w:val="9"/>
    <w:rPr>
      <w:rFonts w:ascii="Arial" w:hAnsi="Arial" w:eastAsia="Arial" w:cs="Arial"/>
      <w:b/>
      <w:bCs/>
      <w:sz w:val="24"/>
      <w:szCs w:val="24"/>
    </w:rPr>
  </w:style>
  <w:style w:type="paragraph" w:styleId="23">
    <w:name w:val="Heading 6"/>
    <w:basedOn w:val="10"/>
    <w:next w:val="10"/>
    <w:link w:val="24"/>
    <w:uiPriority w:val="9"/>
    <w:unhideWhenUsed/>
    <w:qFormat/>
    <w:pPr>
      <w:keepLines/>
      <w:keepNext/>
      <w:spacing w:before="320" w:after="200"/>
      <w:outlineLvl w:val="5"/>
    </w:pPr>
    <w:rPr>
      <w:rFonts w:ascii="Arial" w:hAnsi="Arial" w:eastAsia="Arial" w:cs="Arial"/>
      <w:b/>
      <w:bCs/>
      <w:sz w:val="22"/>
      <w:szCs w:val="22"/>
    </w:rPr>
  </w:style>
  <w:style w:type="character" w:styleId="24">
    <w:name w:val="Heading 6 Char"/>
    <w:basedOn w:val="11"/>
    <w:link w:val="23"/>
    <w:uiPriority w:val="9"/>
    <w:rPr>
      <w:rFonts w:ascii="Arial" w:hAnsi="Arial" w:eastAsia="Arial" w:cs="Arial"/>
      <w:b/>
      <w:bCs/>
      <w:sz w:val="22"/>
      <w:szCs w:val="22"/>
    </w:rPr>
  </w:style>
  <w:style w:type="paragraph" w:styleId="25">
    <w:name w:val="Heading 7"/>
    <w:basedOn w:val="10"/>
    <w:next w:val="10"/>
    <w:link w:val="26"/>
    <w:uiPriority w:val="9"/>
    <w:unhideWhenUsed/>
    <w:qFormat/>
    <w:pPr>
      <w:keepLines/>
      <w:keepNext/>
      <w:spacing w:before="320" w:after="200"/>
      <w:outlineLvl w:val="6"/>
    </w:pPr>
    <w:rPr>
      <w:rFonts w:ascii="Arial" w:hAnsi="Arial" w:eastAsia="Arial" w:cs="Arial"/>
      <w:b/>
      <w:bCs/>
      <w:i/>
      <w:iCs/>
      <w:sz w:val="22"/>
      <w:szCs w:val="22"/>
    </w:rPr>
  </w:style>
  <w:style w:type="character" w:styleId="26">
    <w:name w:val="Heading 7 Char"/>
    <w:basedOn w:val="11"/>
    <w:link w:val="25"/>
    <w:uiPriority w:val="9"/>
    <w:rPr>
      <w:rFonts w:ascii="Arial" w:hAnsi="Arial" w:eastAsia="Arial" w:cs="Arial"/>
      <w:b/>
      <w:bCs/>
      <w:i/>
      <w:iCs/>
      <w:sz w:val="22"/>
      <w:szCs w:val="22"/>
    </w:rPr>
  </w:style>
  <w:style w:type="paragraph" w:styleId="27">
    <w:name w:val="Heading 8"/>
    <w:basedOn w:val="10"/>
    <w:next w:val="10"/>
    <w:link w:val="28"/>
    <w:uiPriority w:val="9"/>
    <w:unhideWhenUsed/>
    <w:qFormat/>
    <w:pPr>
      <w:keepLines/>
      <w:keepNext/>
      <w:spacing w:before="320" w:after="200"/>
      <w:outlineLvl w:val="7"/>
    </w:pPr>
    <w:rPr>
      <w:rFonts w:ascii="Arial" w:hAnsi="Arial" w:eastAsia="Arial" w:cs="Arial"/>
      <w:i/>
      <w:iCs/>
      <w:sz w:val="22"/>
      <w:szCs w:val="22"/>
    </w:rPr>
  </w:style>
  <w:style w:type="character" w:styleId="28">
    <w:name w:val="Heading 8 Char"/>
    <w:basedOn w:val="11"/>
    <w:link w:val="27"/>
    <w:uiPriority w:val="9"/>
    <w:rPr>
      <w:rFonts w:ascii="Arial" w:hAnsi="Arial" w:eastAsia="Arial" w:cs="Arial"/>
      <w:i/>
      <w:iCs/>
      <w:sz w:val="22"/>
      <w:szCs w:val="22"/>
    </w:rPr>
  </w:style>
  <w:style w:type="paragraph" w:styleId="29">
    <w:name w:val="Heading 9"/>
    <w:basedOn w:val="10"/>
    <w:next w:val="10"/>
    <w:link w:val="30"/>
    <w:uiPriority w:val="9"/>
    <w:unhideWhenUsed/>
    <w:qFormat/>
    <w:pPr>
      <w:keepLines/>
      <w:keepNext/>
      <w:spacing w:before="320" w:after="200"/>
      <w:outlineLvl w:val="8"/>
    </w:pPr>
    <w:rPr>
      <w:rFonts w:ascii="Arial" w:hAnsi="Arial" w:eastAsia="Arial" w:cs="Arial"/>
      <w:i/>
      <w:iCs/>
      <w:sz w:val="21"/>
      <w:szCs w:val="21"/>
    </w:rPr>
  </w:style>
  <w:style w:type="character" w:styleId="30">
    <w:name w:val="Heading 9 Char"/>
    <w:basedOn w:val="11"/>
    <w:link w:val="29"/>
    <w:uiPriority w:val="9"/>
    <w:rPr>
      <w:rFonts w:ascii="Arial" w:hAnsi="Arial" w:eastAsia="Arial" w:cs="Arial"/>
      <w:i/>
      <w:iCs/>
      <w:sz w:val="21"/>
      <w:szCs w:val="21"/>
    </w:rPr>
  </w:style>
  <w:style w:type="paragraph" w:styleId="31">
    <w:name w:val="List Paragraph"/>
    <w:basedOn w:val="10"/>
    <w:uiPriority w:val="34"/>
    <w:qFormat/>
    <w:pPr>
      <w:contextualSpacing/>
      <w:ind w:left="720"/>
    </w:pPr>
  </w:style>
  <w:style w:type="paragraph" w:styleId="33">
    <w:name w:val="No Spacing"/>
    <w:uiPriority w:val="1"/>
    <w:qFormat/>
    <w:pPr>
      <w:spacing w:before="0" w:after="0" w:line="240" w:lineRule="auto"/>
    </w:pPr>
  </w:style>
  <w:style w:type="paragraph" w:styleId="34">
    <w:name w:val="Title"/>
    <w:basedOn w:val="10"/>
    <w:next w:val="10"/>
    <w:link w:val="35"/>
    <w:uiPriority w:val="10"/>
    <w:qFormat/>
    <w:pPr>
      <w:contextualSpacing/>
      <w:spacing w:before="300" w:after="200"/>
    </w:pPr>
    <w:rPr>
      <w:sz w:val="48"/>
      <w:szCs w:val="48"/>
    </w:rPr>
  </w:style>
  <w:style w:type="character" w:styleId="35">
    <w:name w:val="Title Char"/>
    <w:basedOn w:val="11"/>
    <w:link w:val="34"/>
    <w:uiPriority w:val="10"/>
    <w:rPr>
      <w:sz w:val="48"/>
      <w:szCs w:val="48"/>
    </w:rPr>
  </w:style>
  <w:style w:type="paragraph" w:styleId="36">
    <w:name w:val="Subtitle"/>
    <w:basedOn w:val="10"/>
    <w:next w:val="10"/>
    <w:link w:val="37"/>
    <w:uiPriority w:val="11"/>
    <w:qFormat/>
    <w:pPr>
      <w:spacing w:before="200" w:after="200"/>
    </w:pPr>
    <w:rPr>
      <w:sz w:val="24"/>
      <w:szCs w:val="24"/>
    </w:rPr>
  </w:style>
  <w:style w:type="character" w:styleId="37">
    <w:name w:val="Subtitle Char"/>
    <w:basedOn w:val="11"/>
    <w:link w:val="36"/>
    <w:uiPriority w:val="11"/>
    <w:rPr>
      <w:sz w:val="24"/>
      <w:szCs w:val="24"/>
    </w:rPr>
  </w:style>
  <w:style w:type="paragraph" w:styleId="38">
    <w:name w:val="Quote"/>
    <w:basedOn w:val="10"/>
    <w:next w:val="10"/>
    <w:link w:val="39"/>
    <w:uiPriority w:val="29"/>
    <w:qFormat/>
    <w:pPr>
      <w:ind w:left="720" w:right="720"/>
    </w:pPr>
    <w:rPr>
      <w:i/>
    </w:rPr>
  </w:style>
  <w:style w:type="character" w:styleId="39">
    <w:name w:val="Quote Char"/>
    <w:link w:val="38"/>
    <w:uiPriority w:val="29"/>
    <w:rPr>
      <w:i/>
    </w:rPr>
  </w:style>
  <w:style w:type="paragraph" w:styleId="40">
    <w:name w:val="Intense Quote"/>
    <w:basedOn w:val="10"/>
    <w:next w:val="10"/>
    <w:link w:val="4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41">
    <w:name w:val="Intense Quote Char"/>
    <w:link w:val="40"/>
    <w:uiPriority w:val="30"/>
    <w:rPr>
      <w:i/>
    </w:rPr>
  </w:style>
  <w:style w:type="paragraph" w:styleId="42">
    <w:name w:val="Header"/>
    <w:basedOn w:val="10"/>
    <w:link w:val="43"/>
    <w:uiPriority w:val="99"/>
    <w:unhideWhenUsed/>
    <w:pPr>
      <w:spacing w:after="0" w:line="240" w:lineRule="auto"/>
      <w:tabs>
        <w:tab w:val="center" w:pos="7143" w:leader="none"/>
        <w:tab w:val="right" w:pos="14287" w:leader="none"/>
      </w:tabs>
    </w:pPr>
  </w:style>
  <w:style w:type="character" w:styleId="43">
    <w:name w:val="Header Char"/>
    <w:basedOn w:val="11"/>
    <w:link w:val="42"/>
    <w:uiPriority w:val="99"/>
  </w:style>
  <w:style w:type="paragraph" w:styleId="44">
    <w:name w:val="Footer"/>
    <w:basedOn w:val="10"/>
    <w:link w:val="45"/>
    <w:uiPriority w:val="99"/>
    <w:unhideWhenUsed/>
    <w:pPr>
      <w:spacing w:after="0" w:line="240" w:lineRule="auto"/>
      <w:tabs>
        <w:tab w:val="center" w:pos="7143" w:leader="none"/>
        <w:tab w:val="right" w:pos="14287" w:leader="none"/>
      </w:tabs>
    </w:pPr>
  </w:style>
  <w:style w:type="character" w:styleId="45">
    <w:name w:val="Footer Char"/>
    <w:basedOn w:val="11"/>
    <w:link w:val="44"/>
    <w:uiPriority w:val="99"/>
  </w:style>
  <w:style w:type="paragraph" w:styleId="46">
    <w:name w:val="Caption"/>
    <w:basedOn w:val="10"/>
    <w:next w:val="10"/>
    <w:link w:val="47"/>
    <w:uiPriority w:val="35"/>
    <w:semiHidden/>
    <w:unhideWhenUsed/>
    <w:qFormat/>
    <w:pPr>
      <w:spacing w:line="276" w:lineRule="auto"/>
    </w:pPr>
    <w:rPr>
      <w:b/>
      <w:bCs/>
      <w:color w:val="4f81bd" w:themeColor="accent1"/>
      <w:sz w:val="18"/>
      <w:szCs w:val="18"/>
    </w:rPr>
  </w:style>
  <w:style w:type="character" w:styleId="47">
    <w:name w:val="Caption Char"/>
    <w:basedOn w:val="11"/>
    <w:link w:val="46"/>
    <w:uiPriority w:val="35"/>
    <w:rPr>
      <w:b/>
      <w:bCs/>
      <w:color w:val="4f81bd" w:themeColor="accent1"/>
      <w:sz w:val="18"/>
      <w:szCs w:val="18"/>
    </w:rPr>
  </w:style>
  <w:style w:type="table" w:styleId="48">
    <w:name w:val="Table Grid"/>
    <w:basedOn w:val="32"/>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49">
    <w:name w:val="Table Grid Light"/>
    <w:basedOn w:val="3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50">
    <w:name w:val="Plain Table 1"/>
    <w:basedOn w:val="3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51">
    <w:name w:val="Plain Table 2"/>
    <w:basedOn w:val="3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2">
    <w:name w:val="Plain Table 3"/>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3">
    <w:name w:val="Plain Table 4"/>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4">
    <w:name w:val="Plain Table 5"/>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5">
    <w:name w:val="Grid Table 1 Light"/>
    <w:basedOn w:val="3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6">
    <w:name w:val="Grid Table 1 Light - Accent 1"/>
    <w:basedOn w:val="3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7">
    <w:name w:val="Grid Table 1 Light - Accent 2"/>
    <w:basedOn w:val="3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8">
    <w:name w:val="Grid Table 1 Light - Accent 3"/>
    <w:basedOn w:val="3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9">
    <w:name w:val="Grid Table 1 Light - Accent 4"/>
    <w:basedOn w:val="3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0">
    <w:name w:val="Grid Table 1 Light - Accent 5"/>
    <w:basedOn w:val="3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61">
    <w:name w:val="Grid Table 1 Light - Accent 6"/>
    <w:basedOn w:val="3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2">
    <w:name w:val="Grid Table 2"/>
    <w:basedOn w:val="3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3">
    <w:name w:val="Grid Table 2 - Accent 1"/>
    <w:basedOn w:val="3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4">
    <w:name w:val="Grid Table 2 - Accent 2"/>
    <w:basedOn w:val="3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5">
    <w:name w:val="Grid Table 2 - Accent 3"/>
    <w:basedOn w:val="3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6">
    <w:name w:val="Grid Table 2 - Accent 4"/>
    <w:basedOn w:val="3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7">
    <w:name w:val="Grid Table 2 - Accent 5"/>
    <w:basedOn w:val="3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8">
    <w:name w:val="Grid Table 2 - Accent 6"/>
    <w:basedOn w:val="3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9">
    <w:name w:val="Grid Table 3"/>
    <w:basedOn w:val="3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1"/>
    <w:basedOn w:val="3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2"/>
    <w:basedOn w:val="3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3"/>
    <w:basedOn w:val="3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4"/>
    <w:basedOn w:val="3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3 - Accent 5"/>
    <w:basedOn w:val="3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5">
    <w:name w:val="Grid Table 3 - Accent 6"/>
    <w:basedOn w:val="3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
    <w:name w:val="Grid Table 4"/>
    <w:basedOn w:val="3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
    <w:name w:val="Grid Table 4 - Accent 1"/>
    <w:basedOn w:val="3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8">
    <w:name w:val="Grid Table 4 - Accent 2"/>
    <w:basedOn w:val="3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9">
    <w:name w:val="Grid Table 4 - Accent 3"/>
    <w:basedOn w:val="3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0">
    <w:name w:val="Grid Table 4 - Accent 4"/>
    <w:basedOn w:val="3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
    <w:name w:val="Grid Table 4 - Accent 5"/>
    <w:basedOn w:val="3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
    <w:name w:val="Grid Table 4 - Accent 6"/>
    <w:basedOn w:val="3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
    <w:name w:val="Grid Table 5 Dark"/>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
    <w:name w:val="Grid Table 5 Dark- Accent 1"/>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5">
    <w:name w:val="Grid Table 5 Dark - Accent 2"/>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6">
    <w:name w:val="Grid Table 5 Dark - Accent 3"/>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
    <w:name w:val="Grid Table 5 Dark- Accent 4"/>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8">
    <w:name w:val="Grid Table 5 Dark - Accent 5"/>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9">
    <w:name w:val="Grid Table 5 Dark - Accent 6"/>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90">
    <w:name w:val="Grid Table 6 Colorful"/>
    <w:basedOn w:val="3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91">
    <w:name w:val="Grid Table 6 Colorful - Accent 1"/>
    <w:basedOn w:val="3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92">
    <w:name w:val="Grid Table 6 Colorful - Accent 2"/>
    <w:basedOn w:val="3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93">
    <w:name w:val="Grid Table 6 Colorful - Accent 3"/>
    <w:basedOn w:val="3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94">
    <w:name w:val="Grid Table 6 Colorful - Accent 4"/>
    <w:basedOn w:val="3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95">
    <w:name w:val="Grid Table 6 Colorful - Accent 5"/>
    <w:basedOn w:val="3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6">
    <w:name w:val="Grid Table 6 Colorful - Accent 6"/>
    <w:basedOn w:val="3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7">
    <w:name w:val="Grid Table 7 Colorful"/>
    <w:basedOn w:val="3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8">
    <w:name w:val="Grid Table 7 Colorful - Accent 1"/>
    <w:basedOn w:val="3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9">
    <w:name w:val="Grid Table 7 Colorful - Accent 2"/>
    <w:basedOn w:val="3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100">
    <w:name w:val="Grid Table 7 Colorful - Accent 3"/>
    <w:basedOn w:val="3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101">
    <w:name w:val="Grid Table 7 Colorful - Accent 4"/>
    <w:basedOn w:val="3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2">
    <w:name w:val="Grid Table 7 Colorful - Accent 5"/>
    <w:basedOn w:val="3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3">
    <w:name w:val="Grid Table 7 Colorful - Accent 6"/>
    <w:basedOn w:val="3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4">
    <w:name w:val="List Table 1 Light"/>
    <w:basedOn w:val="3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5">
    <w:name w:val="List Table 1 Light - Accent 1"/>
    <w:basedOn w:val="3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6">
    <w:name w:val="List Table 1 Light - Accent 2"/>
    <w:basedOn w:val="3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7">
    <w:name w:val="List Table 1 Light - Accent 3"/>
    <w:basedOn w:val="3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8">
    <w:name w:val="List Table 1 Light - Accent 4"/>
    <w:basedOn w:val="3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9">
    <w:name w:val="List Table 1 Light - Accent 5"/>
    <w:basedOn w:val="3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10">
    <w:name w:val="List Table 1 Light - Accent 6"/>
    <w:basedOn w:val="3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11">
    <w:name w:val="List Table 2"/>
    <w:basedOn w:val="3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2">
    <w:name w:val="List Table 2 - Accent 1"/>
    <w:basedOn w:val="3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3">
    <w:name w:val="List Table 2 - Accent 2"/>
    <w:basedOn w:val="3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4">
    <w:name w:val="List Table 2 - Accent 3"/>
    <w:basedOn w:val="3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5">
    <w:name w:val="List Table 2 - Accent 4"/>
    <w:basedOn w:val="3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6">
    <w:name w:val="List Table 2 - Accent 5"/>
    <w:basedOn w:val="3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7">
    <w:name w:val="List Table 2 - Accent 6"/>
    <w:basedOn w:val="3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8">
    <w:name w:val="List Table 3"/>
    <w:basedOn w:val="3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9">
    <w:name w:val="List Table 3 - Accent 1"/>
    <w:basedOn w:val="3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0">
    <w:name w:val="List Table 3 - Accent 2"/>
    <w:basedOn w:val="3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121">
    <w:name w:val="List Table 3 - Accent 3"/>
    <w:basedOn w:val="3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122">
    <w:name w:val="List Table 3 - Accent 4"/>
    <w:basedOn w:val="3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123">
    <w:name w:val="List Table 3 - Accent 5"/>
    <w:basedOn w:val="3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124">
    <w:name w:val="List Table 3 - Accent 6"/>
    <w:basedOn w:val="3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125">
    <w:name w:val="List Table 4"/>
    <w:basedOn w:val="3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6">
    <w:name w:val="List Table 4 - Accent 1"/>
    <w:basedOn w:val="3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7">
    <w:name w:val="List Table 4 - Accent 2"/>
    <w:basedOn w:val="3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128">
    <w:name w:val="List Table 4 - Accent 3"/>
    <w:basedOn w:val="3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129">
    <w:name w:val="List Table 4 - Accent 4"/>
    <w:basedOn w:val="3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130">
    <w:name w:val="List Table 4 - Accent 5"/>
    <w:basedOn w:val="3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131">
    <w:name w:val="List Table 4 - Accent 6"/>
    <w:basedOn w:val="3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132">
    <w:name w:val="List Table 5 Dark"/>
    <w:basedOn w:val="3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1"/>
    <w:basedOn w:val="3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2"/>
    <w:basedOn w:val="3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3"/>
    <w:basedOn w:val="3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4"/>
    <w:basedOn w:val="3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5 Dark - Accent 5"/>
    <w:basedOn w:val="3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8">
    <w:name w:val="List Table 5 Dark - Accent 6"/>
    <w:basedOn w:val="3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9">
    <w:name w:val="List Table 6 Colorful"/>
    <w:basedOn w:val="3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40">
    <w:name w:val="List Table 6 Colorful - Accent 1"/>
    <w:basedOn w:val="3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141">
    <w:name w:val="List Table 6 Colorful - Accent 2"/>
    <w:basedOn w:val="3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142">
    <w:name w:val="List Table 6 Colorful - Accent 3"/>
    <w:basedOn w:val="3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143">
    <w:name w:val="List Table 6 Colorful - Accent 4"/>
    <w:basedOn w:val="3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144">
    <w:name w:val="List Table 6 Colorful - Accent 5"/>
    <w:basedOn w:val="3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145">
    <w:name w:val="List Table 6 Colorful - Accent 6"/>
    <w:basedOn w:val="3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146">
    <w:name w:val="List Table 7 Colorful"/>
    <w:basedOn w:val="3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7">
    <w:name w:val="List Table 7 Colorful - Accent 1"/>
    <w:basedOn w:val="3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a4b71" w:themeColor="accent1" w:themeShade="95"/>
        <w:sz w:val="22"/>
      </w:rPr>
    </w:tblStylePr>
  </w:style>
  <w:style w:type="table" w:styleId="148">
    <w:name w:val="List Table 7 Colorful - Accent 2"/>
    <w:basedOn w:val="3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9c3a37" w:themeColor="accent2" w:themeTint="97" w:themeShade="95"/>
        <w:sz w:val="22"/>
      </w:rPr>
    </w:tblStylePr>
  </w:style>
  <w:style w:type="table" w:styleId="149">
    <w:name w:val="List Table 7 Colorful - Accent 3"/>
    <w:basedOn w:val="3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c983f" w:themeColor="accent3" w:themeTint="98" w:themeShade="95"/>
        <w:sz w:val="22"/>
      </w:rPr>
    </w:tblStylePr>
  </w:style>
  <w:style w:type="table" w:styleId="150">
    <w:name w:val="List Table 7 Colorful - Accent 4"/>
    <w:basedOn w:val="3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664f82" w:themeColor="accent4" w:themeTint="9A" w:themeShade="95"/>
        <w:sz w:val="22"/>
      </w:rPr>
    </w:tblStylePr>
  </w:style>
  <w:style w:type="table" w:styleId="151">
    <w:name w:val="List Table 7 Colorful - Accent 5"/>
    <w:basedOn w:val="3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338aa0" w:themeColor="accent5" w:themeTint="9A" w:themeShade="95"/>
        <w:sz w:val="22"/>
      </w:rPr>
    </w:tblStylePr>
  </w:style>
  <w:style w:type="table" w:styleId="152">
    <w:name w:val="List Table 7 Colorful - Accent 6"/>
    <w:basedOn w:val="3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d9680c" w:themeColor="accent6" w:themeTint="98" w:themeShade="95"/>
        <w:sz w:val="22"/>
      </w:rPr>
    </w:tblStylePr>
  </w:style>
  <w:style w:type="table" w:styleId="153">
    <w:name w:val="Lined - Accent"/>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4">
    <w:name w:val="Lined - Accent 1"/>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55">
    <w:name w:val="Lined - Accent 2"/>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56">
    <w:name w:val="Lined - Accent 3"/>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57">
    <w:name w:val="Lined - Accent 4"/>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58">
    <w:name w:val="Lined - Accent 5"/>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59">
    <w:name w:val="Lined - Accent 6"/>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0">
    <w:name w:val="Bordered &amp; Lined - Accent"/>
    <w:basedOn w:val="3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61">
    <w:name w:val="Bordered &amp; Lined - Accent 1"/>
    <w:basedOn w:val="3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62">
    <w:name w:val="Bordered &amp; Lined - Accent 2"/>
    <w:basedOn w:val="3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63">
    <w:name w:val="Bordered &amp; Lined - Accent 3"/>
    <w:basedOn w:val="3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64">
    <w:name w:val="Bordered &amp; Lined - Accent 4"/>
    <w:basedOn w:val="3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65">
    <w:name w:val="Bordered &amp; Lined - Accent 5"/>
    <w:basedOn w:val="3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66">
    <w:name w:val="Bordered &amp; Lined - Accent 6"/>
    <w:basedOn w:val="3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7">
    <w:name w:val="Bordered"/>
    <w:basedOn w:val="3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8">
    <w:name w:val="Bordered - Accent 1"/>
    <w:basedOn w:val="3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9">
    <w:name w:val="Bordered - Accent 2"/>
    <w:basedOn w:val="3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70">
    <w:name w:val="Bordered - Accent 3"/>
    <w:basedOn w:val="3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71">
    <w:name w:val="Bordered - Accent 4"/>
    <w:basedOn w:val="3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2">
    <w:name w:val="Bordered - Accent 5"/>
    <w:basedOn w:val="3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3">
    <w:name w:val="Bordered - Accent 6"/>
    <w:basedOn w:val="3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174">
    <w:name w:val="Hyperlink"/>
    <w:uiPriority w:val="99"/>
    <w:unhideWhenUsed/>
    <w:rPr>
      <w:color w:val="0000ff" w:themeColor="hyperlink"/>
      <w:u w:val="single"/>
    </w:rPr>
  </w:style>
  <w:style w:type="paragraph" w:styleId="175">
    <w:name w:val="footnote text"/>
    <w:basedOn w:val="10"/>
    <w:link w:val="176"/>
    <w:uiPriority w:val="99"/>
    <w:semiHidden/>
    <w:unhideWhenUsed/>
    <w:pPr>
      <w:spacing w:after="40" w:line="240" w:lineRule="auto"/>
    </w:pPr>
    <w:rPr>
      <w:sz w:val="18"/>
    </w:rPr>
  </w:style>
  <w:style w:type="character" w:styleId="176">
    <w:name w:val="Footnote Text Char"/>
    <w:link w:val="175"/>
    <w:uiPriority w:val="99"/>
    <w:rPr>
      <w:sz w:val="18"/>
    </w:rPr>
  </w:style>
  <w:style w:type="character" w:styleId="177">
    <w:name w:val="footnote reference"/>
    <w:basedOn w:val="11"/>
    <w:uiPriority w:val="99"/>
    <w:unhideWhenUsed/>
    <w:rPr>
      <w:vertAlign w:val="superscript"/>
    </w:rPr>
  </w:style>
  <w:style w:type="paragraph" w:styleId="178">
    <w:name w:val="endnote text"/>
    <w:basedOn w:val="10"/>
    <w:link w:val="179"/>
    <w:uiPriority w:val="99"/>
    <w:semiHidden/>
    <w:unhideWhenUsed/>
    <w:pPr>
      <w:spacing w:after="0" w:line="240" w:lineRule="auto"/>
    </w:pPr>
    <w:rPr>
      <w:sz w:val="20"/>
    </w:rPr>
  </w:style>
  <w:style w:type="character" w:styleId="179">
    <w:name w:val="Endnote Text Char"/>
    <w:link w:val="178"/>
    <w:uiPriority w:val="99"/>
    <w:rPr>
      <w:sz w:val="20"/>
    </w:rPr>
  </w:style>
  <w:style w:type="character" w:styleId="180">
    <w:name w:val="endnote reference"/>
    <w:basedOn w:val="11"/>
    <w:uiPriority w:val="99"/>
    <w:semiHidden/>
    <w:unhideWhenUsed/>
    <w:rPr>
      <w:vertAlign w:val="superscript"/>
    </w:rPr>
  </w:style>
  <w:style w:type="paragraph" w:styleId="181">
    <w:name w:val="toc 1"/>
    <w:basedOn w:val="10"/>
    <w:next w:val="10"/>
    <w:uiPriority w:val="39"/>
    <w:unhideWhenUsed/>
    <w:pPr>
      <w:ind w:left="0" w:right="0" w:firstLine="0"/>
      <w:spacing w:after="57"/>
    </w:pPr>
  </w:style>
  <w:style w:type="paragraph" w:styleId="182">
    <w:name w:val="toc 2"/>
    <w:basedOn w:val="10"/>
    <w:next w:val="10"/>
    <w:uiPriority w:val="39"/>
    <w:unhideWhenUsed/>
    <w:pPr>
      <w:ind w:left="283" w:right="0" w:firstLine="0"/>
      <w:spacing w:after="57"/>
    </w:pPr>
  </w:style>
  <w:style w:type="paragraph" w:styleId="183">
    <w:name w:val="toc 3"/>
    <w:basedOn w:val="10"/>
    <w:next w:val="10"/>
    <w:uiPriority w:val="39"/>
    <w:unhideWhenUsed/>
    <w:pPr>
      <w:ind w:left="567" w:right="0" w:firstLine="0"/>
      <w:spacing w:after="57"/>
    </w:pPr>
  </w:style>
  <w:style w:type="paragraph" w:styleId="184">
    <w:name w:val="toc 4"/>
    <w:basedOn w:val="10"/>
    <w:next w:val="10"/>
    <w:uiPriority w:val="39"/>
    <w:unhideWhenUsed/>
    <w:pPr>
      <w:ind w:left="850" w:right="0" w:firstLine="0"/>
      <w:spacing w:after="57"/>
    </w:pPr>
  </w:style>
  <w:style w:type="paragraph" w:styleId="185">
    <w:name w:val="toc 5"/>
    <w:basedOn w:val="10"/>
    <w:next w:val="10"/>
    <w:uiPriority w:val="39"/>
    <w:unhideWhenUsed/>
    <w:pPr>
      <w:ind w:left="1134" w:right="0" w:firstLine="0"/>
      <w:spacing w:after="57"/>
    </w:pPr>
  </w:style>
  <w:style w:type="paragraph" w:styleId="186">
    <w:name w:val="toc 6"/>
    <w:basedOn w:val="10"/>
    <w:next w:val="10"/>
    <w:uiPriority w:val="39"/>
    <w:unhideWhenUsed/>
    <w:pPr>
      <w:ind w:left="1417" w:right="0" w:firstLine="0"/>
      <w:spacing w:after="57"/>
    </w:pPr>
  </w:style>
  <w:style w:type="paragraph" w:styleId="187">
    <w:name w:val="toc 7"/>
    <w:basedOn w:val="10"/>
    <w:next w:val="10"/>
    <w:uiPriority w:val="39"/>
    <w:unhideWhenUsed/>
    <w:pPr>
      <w:ind w:left="1701" w:right="0" w:firstLine="0"/>
      <w:spacing w:after="57"/>
    </w:pPr>
  </w:style>
  <w:style w:type="paragraph" w:styleId="188">
    <w:name w:val="toc 8"/>
    <w:basedOn w:val="10"/>
    <w:next w:val="10"/>
    <w:uiPriority w:val="39"/>
    <w:unhideWhenUsed/>
    <w:pPr>
      <w:ind w:left="1984" w:right="0" w:firstLine="0"/>
      <w:spacing w:after="57"/>
    </w:pPr>
  </w:style>
  <w:style w:type="paragraph" w:styleId="189">
    <w:name w:val="toc 9"/>
    <w:basedOn w:val="10"/>
    <w:next w:val="10"/>
    <w:uiPriority w:val="39"/>
    <w:unhideWhenUsed/>
    <w:pPr>
      <w:ind w:left="2268" w:right="0" w:firstLine="0"/>
      <w:spacing w:after="57"/>
    </w:pPr>
  </w:style>
  <w:style w:type="paragraph" w:styleId="190">
    <w:name w:val="TOC Heading"/>
    <w:uiPriority w:val="39"/>
    <w:unhideWhenUsed/>
  </w:style>
  <w:style w:type="paragraph" w:styleId="191">
    <w:name w:val="table of figures"/>
    <w:basedOn w:val="10"/>
    <w:next w:val="10"/>
    <w:uiPriority w:val="99"/>
    <w:unhideWhenUsed/>
    <w:pPr>
      <w:spacing w:after="0" w:afterAutospacing="0"/>
    </w:pPr>
  </w:style>
  <w:style w:type="paragraph" w:styleId="827" w:default="1" w:customStyle="1">
    <w:name w:val="ConsPlusNormal"/>
    <w:pPr>
      <w:widowControl w:val="off"/>
    </w:pPr>
    <w:rPr>
      <w:rFonts w:ascii="Times New Roman" w:hAnsi="Times New Roman" w:cs="Times New Roman"/>
      <w:sz w:val="24"/>
    </w:rPr>
  </w:style>
  <w:style w:type="paragraph" w:styleId="828" w:customStyle="1">
    <w:name w:val="ConsPlusNonformat"/>
    <w:pPr>
      <w:widowControl w:val="off"/>
    </w:pPr>
    <w:rPr>
      <w:rFonts w:ascii="Courier New" w:hAnsi="Courier New" w:cs="Courier New"/>
      <w:sz w:val="20"/>
    </w:rPr>
  </w:style>
  <w:style w:type="paragraph" w:styleId="829" w:customStyle="1">
    <w:name w:val="ConsPlusTitle"/>
    <w:pPr>
      <w:widowControl w:val="off"/>
    </w:pPr>
    <w:rPr>
      <w:rFonts w:ascii="Arial" w:hAnsi="Arial" w:cs="Arial"/>
      <w:b/>
      <w:sz w:val="24"/>
    </w:rPr>
  </w:style>
  <w:style w:type="paragraph" w:styleId="830" w:customStyle="1">
    <w:name w:val="ConsPlusCell"/>
    <w:pPr>
      <w:widowControl w:val="off"/>
    </w:pPr>
    <w:rPr>
      <w:rFonts w:ascii="Courier New" w:hAnsi="Courier New" w:cs="Courier New"/>
      <w:sz w:val="20"/>
    </w:rPr>
  </w:style>
  <w:style w:type="paragraph" w:styleId="831" w:customStyle="1">
    <w:name w:val="ConsPlusDocList"/>
    <w:pPr>
      <w:widowControl w:val="off"/>
    </w:pPr>
    <w:rPr>
      <w:rFonts w:ascii="Tahoma" w:hAnsi="Tahoma" w:cs="Tahoma"/>
      <w:sz w:val="18"/>
    </w:rPr>
  </w:style>
  <w:style w:type="paragraph" w:styleId="832" w:customStyle="1">
    <w:name w:val="ConsPlusTitlePage"/>
    <w:pPr>
      <w:widowControl w:val="off"/>
    </w:pPr>
    <w:rPr>
      <w:rFonts w:ascii="Tahoma" w:hAnsi="Tahoma" w:cs="Tahoma"/>
      <w:sz w:val="20"/>
    </w:rPr>
  </w:style>
  <w:style w:type="paragraph" w:styleId="833" w:customStyle="1">
    <w:name w:val="ConsPlusJurTerm"/>
    <w:pPr>
      <w:widowControl w:val="off"/>
    </w:pPr>
    <w:rPr>
      <w:rFonts w:ascii="Tahoma" w:hAnsi="Tahoma" w:cs="Tahoma"/>
      <w:sz w:val="26"/>
    </w:rPr>
  </w:style>
  <w:style w:type="paragraph" w:styleId="834" w:customStyle="1">
    <w:name w:val="ConsPlusTextList"/>
    <w:pPr>
      <w:widowControl w:val="off"/>
    </w:pPr>
    <w:rPr>
      <w:rFonts w:ascii="Times New Roman" w:hAnsi="Times New Roman" w:cs="Times New Roman"/>
      <w:sz w:val="24"/>
    </w:rPr>
  </w:style>
  <w:style w:type="paragraph" w:styleId="835" w:customStyle="1">
    <w:name w:val="ConsPlusTextList"/>
    <w:pPr>
      <w:widowControl w:val="off"/>
    </w:pPr>
    <w:rPr>
      <w:rFonts w:ascii="Times New Roman" w:hAnsi="Times New Roman" w:cs="Times New Roman"/>
      <w:sz w:val="24"/>
    </w:rPr>
  </w:style>
  <w:style w:type="character" w:styleId="4173" w:default="1">
    <w:name w:val="Default Paragraph Font"/>
    <w:uiPriority w:val="1"/>
    <w:semiHidden/>
    <w:unhideWhenUsed/>
  </w:style>
  <w:style w:type="numbering" w:styleId="4174" w:default="1">
    <w:name w:val="No List"/>
    <w:uiPriority w:val="99"/>
    <w:semiHidden/>
    <w:unhideWhenUsed/>
  </w:style>
  <w:style w:type="table" w:styleId="4175" w:default="1">
    <w:name w:val="Normal Table"/>
    <w:uiPriority w:val="99"/>
    <w:semiHidden/>
    <w:unhideWhenUsed/>
    <w:tbl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header" Target="header2.xml" /><Relationship Id="rId10" Type="http://schemas.openxmlformats.org/officeDocument/2006/relationships/footer" Target="footer1.xml" /><Relationship Id="rId11" Type="http://schemas.openxmlformats.org/officeDocument/2006/relationships/footer" Target="footer2.xml" /><Relationship Id="rId12" Type="http://schemas.openxmlformats.org/officeDocument/2006/relationships/image" Target="media/image1.png"/><Relationship Id="rId13" Type="http://schemas.openxmlformats.org/officeDocument/2006/relationships/hyperlink" Target="https://www.consultant.ru" TargetMode="External"/><Relationship Id="rId14" Type="http://schemas.openxmlformats.org/officeDocument/2006/relationships/hyperlink" Target="https://www.consultant.ru"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 Id="rId1" Type="http://schemas.openxmlformats.org/officeDocument/2006/relationships/hyperlink" Target="https://www.consultant.ru" TargetMode="External"/></Relationships>
</file>

<file path=word/_rels/footer2.xml.rels><?xml version="1.0" encoding="UTF-8" standalone="yes"?><Relationships xmlns="http://schemas.openxmlformats.org/package/2006/relationships"><Relationship Id="rId1" Type="http://schemas.openxmlformats.org/officeDocument/2006/relationships/hyperlink" Target="https://www.consultant.ru" TargetMode="External"/></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 Id="rId1" Type="http://schemas.openxmlformats.org/officeDocument/2006/relationships/hyperlink" Target="https://www.consultant.ru" TargetMode="External"/></Relationships>
</file>

<file path=word/_rels/header2.xml.rels><?xml version="1.0" encoding="UTF-8" standalone="yes"?><Relationships xmlns="http://schemas.openxmlformats.org/package/2006/relationships"><Relationship Id="rId1" Type="http://schemas.openxmlformats.org/officeDocument/2006/relationships/hyperlink" Target="https://www.consultant.ru" TargetMode="External"/></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Р7-Офис/2024.4.2.721</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Минсоцполитики УР от 28.12.2020 N 379
(ред. от 28.02.2025)
"Об утверждении Порядка определения объема и условий предоставления субсидий на иные цели бюджетным и автономным учреждениям, подведомственным Министерству социальной политики и труда Удмуртской Республики"
(Зарегистрировано в Управлении Минюста России по УР 02.03.2021 N RU18000202001850)</dc:title>
  <cp:lastModifiedBy>lomaeva_kl</cp:lastModifiedBy>
  <cp:revision>1</cp:revision>
  <dcterms:created xsi:type="dcterms:W3CDTF">2025-03-18T12:35:04Z</dcterms:created>
  <dcterms:modified xsi:type="dcterms:W3CDTF">2025-03-20T06:09:59Z</dcterms:modified>
</cp:coreProperties>
</file>