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A8" w:rsidRPr="0033417B" w:rsidRDefault="001268FA" w:rsidP="00217E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3417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Расчет оценки эффективности реализации</w:t>
      </w:r>
    </w:p>
    <w:p w:rsidR="001268FA" w:rsidRPr="0033417B" w:rsidRDefault="001268FA" w:rsidP="00AA30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3417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государственной программы Удмуртской Республики «</w:t>
      </w:r>
      <w:r w:rsidR="000451A2" w:rsidRPr="0033417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Социальная поддержка граждан</w:t>
      </w:r>
      <w:r w:rsidR="00AE529D" w:rsidRPr="0033417B">
        <w:rPr>
          <w:rFonts w:ascii="Times New Roman" w:hAnsi="Times New Roman" w:cs="Times New Roman"/>
          <w:b/>
          <w:bCs/>
          <w:color w:val="000000"/>
          <w:sz w:val="20"/>
          <w:szCs w:val="20"/>
        </w:rPr>
        <w:t>» за 20</w:t>
      </w:r>
      <w:r w:rsidR="005E4939" w:rsidRPr="0033417B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9706F2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Pr="0033417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год</w:t>
      </w:r>
    </w:p>
    <w:p w:rsidR="000A2E2E" w:rsidRPr="0033417B" w:rsidRDefault="000A2E2E" w:rsidP="00111F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11FA8" w:rsidRPr="0033417B" w:rsidRDefault="00111FA8" w:rsidP="00217EA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33417B">
        <w:rPr>
          <w:rFonts w:ascii="Times New Roman" w:hAnsi="Times New Roman"/>
          <w:bCs/>
          <w:color w:val="000000"/>
          <w:sz w:val="20"/>
          <w:szCs w:val="20"/>
        </w:rPr>
        <w:t>Оценивается степень достижения планового значения каждого целевого показателя (индикатора) государственной программы и ее подпрограмм в соответствии с методикой оценки эффективности реализации государственных программ Удмуртской Республики, утвержденной постановлением Правительства Удмуртской Республики от 30 декабря 2013 года № 611</w:t>
      </w:r>
    </w:p>
    <w:p w:rsidR="00111FA8" w:rsidRPr="0033417B" w:rsidRDefault="00111FA8" w:rsidP="00111FA8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699"/>
        <w:gridCol w:w="557"/>
        <w:gridCol w:w="4044"/>
        <w:gridCol w:w="976"/>
        <w:gridCol w:w="969"/>
        <w:gridCol w:w="850"/>
        <w:gridCol w:w="1416"/>
        <w:gridCol w:w="1419"/>
        <w:gridCol w:w="1275"/>
        <w:gridCol w:w="2694"/>
      </w:tblGrid>
      <w:tr w:rsidR="007A29F0" w:rsidRPr="0033417B" w:rsidTr="009E5C26">
        <w:trPr>
          <w:trHeight w:val="435"/>
          <w:tblHeader/>
        </w:trPr>
        <w:tc>
          <w:tcPr>
            <w:tcW w:w="488" w:type="pct"/>
            <w:gridSpan w:val="2"/>
            <w:shd w:val="clear" w:color="000000" w:fill="FFFFFF"/>
          </w:tcPr>
          <w:p w:rsidR="007A29F0" w:rsidRPr="007A29F0" w:rsidRDefault="007A29F0" w:rsidP="007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177" w:type="pct"/>
            <w:vMerge w:val="restart"/>
            <w:shd w:val="clear" w:color="000000" w:fill="FFFFFF"/>
            <w:hideMark/>
          </w:tcPr>
          <w:p w:rsidR="007A29F0" w:rsidRPr="007A29F0" w:rsidRDefault="007A29F0" w:rsidP="007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85" w:type="pct"/>
            <w:vMerge w:val="restart"/>
            <w:shd w:val="clear" w:color="000000" w:fill="FFFFFF"/>
            <w:hideMark/>
          </w:tcPr>
          <w:p w:rsidR="007A29F0" w:rsidRPr="007A29F0" w:rsidRDefault="007A29F0" w:rsidP="007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310" w:type="pct"/>
            <w:vMerge w:val="restart"/>
            <w:shd w:val="clear" w:color="000000" w:fill="FFFFFF"/>
          </w:tcPr>
          <w:p w:rsidR="007A29F0" w:rsidRPr="007A29F0" w:rsidRDefault="007A29F0" w:rsidP="007A29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78" w:type="pct"/>
            <w:gridSpan w:val="2"/>
            <w:shd w:val="clear" w:color="000000" w:fill="FFFFFF"/>
            <w:hideMark/>
          </w:tcPr>
          <w:p w:rsidR="007A29F0" w:rsidRPr="007A29F0" w:rsidRDefault="007A29F0" w:rsidP="000738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073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50" w:type="pct"/>
            <w:vMerge w:val="restart"/>
            <w:shd w:val="clear" w:color="000000" w:fill="FFFFFF"/>
          </w:tcPr>
          <w:p w:rsidR="007A29F0" w:rsidRPr="007A29F0" w:rsidRDefault="007A29F0" w:rsidP="007A29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показателей с желаемой тенденцией увеличения:</w:t>
            </w:r>
          </w:p>
          <w:p w:rsidR="007A29F0" w:rsidRPr="007A29F0" w:rsidRDefault="007A29F0" w:rsidP="007A29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ЦП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=ЗП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Ф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/ЗП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451" w:type="pct"/>
            <w:vMerge w:val="restart"/>
            <w:shd w:val="clear" w:color="000000" w:fill="FFFFFF"/>
          </w:tcPr>
          <w:p w:rsidR="007A29F0" w:rsidRPr="007A29F0" w:rsidRDefault="007A29F0" w:rsidP="007A29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показателей с желаемой тенденцией уменьшения:</w:t>
            </w:r>
          </w:p>
          <w:p w:rsidR="007A29F0" w:rsidRPr="007A29F0" w:rsidRDefault="007A29F0" w:rsidP="007A29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ЦП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=ЗП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/ЗП</w:t>
            </w: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Ф</w:t>
            </w:r>
          </w:p>
        </w:tc>
        <w:tc>
          <w:tcPr>
            <w:tcW w:w="405" w:type="pct"/>
            <w:vMerge w:val="restart"/>
            <w:shd w:val="clear" w:color="000000" w:fill="FFFFFF"/>
          </w:tcPr>
          <w:p w:rsidR="007A29F0" w:rsidRPr="007A29F0" w:rsidRDefault="007A29F0" w:rsidP="007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показателя</w:t>
            </w:r>
          </w:p>
        </w:tc>
        <w:tc>
          <w:tcPr>
            <w:tcW w:w="856" w:type="pct"/>
            <w:vMerge w:val="restart"/>
            <w:shd w:val="clear" w:color="000000" w:fill="FFFFFF"/>
          </w:tcPr>
          <w:p w:rsidR="007A29F0" w:rsidRPr="007A29F0" w:rsidRDefault="007A29F0" w:rsidP="007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1B35A8" w:rsidRPr="0033417B" w:rsidTr="001B35A8">
        <w:trPr>
          <w:trHeight w:val="698"/>
          <w:tblHeader/>
        </w:trPr>
        <w:tc>
          <w:tcPr>
            <w:tcW w:w="266" w:type="pct"/>
            <w:tcBorders>
              <w:bottom w:val="single" w:sz="4" w:space="0" w:color="auto"/>
            </w:tcBorders>
          </w:tcPr>
          <w:p w:rsidR="007A29F0" w:rsidRPr="00AE7666" w:rsidRDefault="007A29F0" w:rsidP="00FB1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7A29F0" w:rsidRPr="00AE7666" w:rsidRDefault="007A29F0" w:rsidP="00FB1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A29F0" w:rsidRPr="00AE7666" w:rsidRDefault="007A29F0" w:rsidP="0043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A29F0" w:rsidRPr="0033417B" w:rsidRDefault="007A29F0" w:rsidP="004356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A29F0" w:rsidRPr="0033417B" w:rsidRDefault="007A29F0" w:rsidP="00B1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A29F0" w:rsidRPr="0033417B" w:rsidRDefault="007A29F0" w:rsidP="00B1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ЗП</w:t>
            </w: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A29F0" w:rsidRPr="0033417B" w:rsidRDefault="007A29F0" w:rsidP="00B1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ЗП</w:t>
            </w: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Ф</w:t>
            </w: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A29F0" w:rsidRPr="0033417B" w:rsidRDefault="007A29F0" w:rsidP="00B1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A29F0" w:rsidRPr="0033417B" w:rsidRDefault="007A29F0" w:rsidP="00B1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7A29F0" w:rsidRPr="0033417B" w:rsidRDefault="007A29F0" w:rsidP="00B1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A29F0" w:rsidRPr="0033417B" w:rsidRDefault="007A29F0" w:rsidP="00B1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7666" w:rsidRPr="0033417B" w:rsidTr="009E5C26">
        <w:trPr>
          <w:trHeight w:val="317"/>
        </w:trPr>
        <w:tc>
          <w:tcPr>
            <w:tcW w:w="266" w:type="pct"/>
            <w:shd w:val="clear" w:color="000000" w:fill="FFFFFF"/>
          </w:tcPr>
          <w:p w:rsidR="00CD542B" w:rsidRPr="00AE7666" w:rsidRDefault="00AE7666" w:rsidP="00FB1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CD542B" w:rsidRPr="00AE7666" w:rsidRDefault="00CD542B" w:rsidP="00FB1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pct"/>
            <w:gridSpan w:val="9"/>
            <w:shd w:val="clear" w:color="000000" w:fill="FFFFFF"/>
            <w:noWrap/>
            <w:hideMark/>
          </w:tcPr>
          <w:p w:rsidR="00CD542B" w:rsidRPr="00AE7666" w:rsidRDefault="00CD54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CD542B" w:rsidRPr="00AE7666" w:rsidRDefault="00AE7666" w:rsidP="00A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CD542B" w:rsidRPr="00AE7666" w:rsidRDefault="00AE7666" w:rsidP="00A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" w:type="pct"/>
            <w:shd w:val="clear" w:color="000000" w:fill="FFFFFF"/>
            <w:noWrap/>
            <w:hideMark/>
          </w:tcPr>
          <w:p w:rsidR="00CD542B" w:rsidRPr="00AE7666" w:rsidRDefault="00CD542B" w:rsidP="00A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pct"/>
            <w:shd w:val="clear" w:color="000000" w:fill="FFFFFF"/>
          </w:tcPr>
          <w:p w:rsidR="00CD542B" w:rsidRDefault="00CD542B" w:rsidP="0043566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  <w:p w:rsidR="0075442E" w:rsidRPr="0033417B" w:rsidRDefault="0075442E" w:rsidP="0043566D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000000" w:fill="FFFFFF"/>
          </w:tcPr>
          <w:p w:rsidR="00CD542B" w:rsidRPr="0033417B" w:rsidRDefault="00CD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CD542B" w:rsidRPr="0033417B" w:rsidRDefault="00CD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270" w:type="pct"/>
            <w:shd w:val="clear" w:color="000000" w:fill="FFFFFF"/>
          </w:tcPr>
          <w:p w:rsidR="00CD542B" w:rsidRPr="0033417B" w:rsidRDefault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  <w:r w:rsidR="00CD542B" w:rsidRPr="003341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50" w:type="pct"/>
            <w:shd w:val="clear" w:color="000000" w:fill="FFFFFF"/>
          </w:tcPr>
          <w:p w:rsidR="00CD542B" w:rsidRPr="0033417B" w:rsidRDefault="00CD542B" w:rsidP="00B1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51" w:type="pct"/>
            <w:shd w:val="clear" w:color="000000" w:fill="FFFFFF"/>
          </w:tcPr>
          <w:p w:rsidR="00CD542B" w:rsidRPr="0033417B" w:rsidRDefault="00CD542B" w:rsidP="00B1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CD542B" w:rsidRPr="007A29F0" w:rsidRDefault="007A29F0" w:rsidP="007A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CD542B" w:rsidRPr="0033417B" w:rsidRDefault="00CD542B" w:rsidP="00B1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CD542B" w:rsidRPr="00AE7666" w:rsidRDefault="00AE7666" w:rsidP="00A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CD542B" w:rsidRPr="00AE7666" w:rsidRDefault="00AE7666" w:rsidP="00A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" w:type="pct"/>
            <w:shd w:val="clear" w:color="000000" w:fill="FFFFFF"/>
            <w:noWrap/>
          </w:tcPr>
          <w:p w:rsidR="00CD542B" w:rsidRPr="00AE7666" w:rsidRDefault="00CD542B" w:rsidP="00A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pct"/>
            <w:shd w:val="clear" w:color="000000" w:fill="FFFFFF"/>
          </w:tcPr>
          <w:p w:rsidR="00CD542B" w:rsidRDefault="00CD542B" w:rsidP="004356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социальных работников государственных учреждений Удмуртской Республики и муниципальных учреждений в Удмуртской Республике со средней заработной платой в Удмуртской Республике</w:t>
            </w:r>
          </w:p>
          <w:p w:rsidR="0075442E" w:rsidRPr="0033417B" w:rsidRDefault="0075442E" w:rsidP="004356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000000" w:fill="FFFFFF"/>
          </w:tcPr>
          <w:p w:rsidR="00CD542B" w:rsidRPr="0033417B" w:rsidRDefault="00CD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CD542B" w:rsidRPr="0033417B" w:rsidRDefault="009706F2" w:rsidP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 w:rsidR="00CD542B" w:rsidRPr="0033417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" w:type="pct"/>
            <w:shd w:val="clear" w:color="000000" w:fill="FFFFFF"/>
          </w:tcPr>
          <w:p w:rsidR="00CD542B" w:rsidRPr="0033417B" w:rsidRDefault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  <w:r w:rsidR="00CD542B" w:rsidRPr="0033417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0" w:type="pct"/>
            <w:shd w:val="clear" w:color="000000" w:fill="FFFFFF"/>
          </w:tcPr>
          <w:p w:rsidR="00CD542B" w:rsidRPr="0033417B" w:rsidRDefault="009706F2" w:rsidP="00B1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451" w:type="pct"/>
            <w:shd w:val="clear" w:color="000000" w:fill="FFFFFF"/>
          </w:tcPr>
          <w:p w:rsidR="00CD542B" w:rsidRPr="0033417B" w:rsidRDefault="00CD542B" w:rsidP="00B1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CD542B" w:rsidRPr="007A29F0" w:rsidRDefault="007A29F0" w:rsidP="007A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CD542B" w:rsidRPr="0033417B" w:rsidRDefault="00CD542B" w:rsidP="00B14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E7666" w:rsidRPr="0033417B" w:rsidTr="009E5C26">
        <w:trPr>
          <w:trHeight w:val="312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43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43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2" w:type="pct"/>
            <w:gridSpan w:val="9"/>
            <w:shd w:val="clear" w:color="000000" w:fill="FFFFFF"/>
            <w:noWrap/>
          </w:tcPr>
          <w:p w:rsidR="00AE7666" w:rsidRPr="00AE7666" w:rsidRDefault="00AE7666" w:rsidP="00B1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мер социальной поддержки отдельных категорий граждан»</w:t>
            </w:r>
          </w:p>
        </w:tc>
      </w:tr>
      <w:tr w:rsidR="001B35A8" w:rsidRPr="0033417B" w:rsidTr="001B35A8">
        <w:trPr>
          <w:trHeight w:val="312"/>
        </w:trPr>
        <w:tc>
          <w:tcPr>
            <w:tcW w:w="266" w:type="pct"/>
            <w:shd w:val="clear" w:color="000000" w:fill="FFFFFF"/>
          </w:tcPr>
          <w:p w:rsidR="00CD542B" w:rsidRPr="00AE7666" w:rsidRDefault="00AE7666" w:rsidP="003B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CD542B" w:rsidRPr="00AE7666" w:rsidRDefault="00AE7666" w:rsidP="003B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pct"/>
            <w:shd w:val="clear" w:color="000000" w:fill="FFFFFF"/>
            <w:noWrap/>
          </w:tcPr>
          <w:p w:rsidR="00CD542B" w:rsidRPr="00AE7666" w:rsidRDefault="00CD542B" w:rsidP="003B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pct"/>
            <w:shd w:val="clear" w:color="000000" w:fill="FFFFFF"/>
          </w:tcPr>
          <w:p w:rsidR="00CD542B" w:rsidRPr="0033417B" w:rsidRDefault="00CD5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Удельный вес малоимущих граждан, получающих меры социальной поддержки в соответствии с нормативными правовыми актами Российской Федерации и нормативными правовыми актами Удмуртской Республики, в общей численности малоимущих граждан в Удмуртской Республике, обратившихся за получением мер социальной поддержки</w:t>
            </w:r>
          </w:p>
        </w:tc>
        <w:tc>
          <w:tcPr>
            <w:tcW w:w="310" w:type="pct"/>
            <w:shd w:val="clear" w:color="000000" w:fill="FFFFFF"/>
          </w:tcPr>
          <w:p w:rsidR="00CD542B" w:rsidRPr="0033417B" w:rsidRDefault="00CD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CD542B" w:rsidRPr="0033417B" w:rsidRDefault="00CD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270" w:type="pct"/>
            <w:shd w:val="clear" w:color="000000" w:fill="FFFFFF"/>
            <w:noWrap/>
          </w:tcPr>
          <w:p w:rsidR="00CD542B" w:rsidRPr="0033417B" w:rsidRDefault="00CD5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450" w:type="pct"/>
            <w:shd w:val="clear" w:color="000000" w:fill="FFFFFF"/>
          </w:tcPr>
          <w:p w:rsidR="00CD542B" w:rsidRPr="0033417B" w:rsidRDefault="00CD542B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51" w:type="pct"/>
            <w:shd w:val="clear" w:color="000000" w:fill="FFFFFF"/>
          </w:tcPr>
          <w:p w:rsidR="00CD542B" w:rsidRPr="0033417B" w:rsidRDefault="00CD542B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CD542B" w:rsidRPr="0033417B" w:rsidRDefault="007A29F0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CD542B" w:rsidRPr="0033417B" w:rsidRDefault="00CD5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35A8" w:rsidRPr="0033417B" w:rsidTr="001B35A8">
        <w:trPr>
          <w:trHeight w:val="312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3B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граждан, получивших ежемесячную денежную компенсацию на оплату жилого помещения и коммунальных услуг (федеральные льготники)  в общей численности пенсионеров, проживающих на территории Удмуртской Республики 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AE7666" w:rsidP="009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="009E5C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shd w:val="clear" w:color="000000" w:fill="FFFFFF"/>
            <w:noWrap/>
          </w:tcPr>
          <w:p w:rsidR="00AE7666" w:rsidRPr="0033417B" w:rsidRDefault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9706F2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1,035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33417B" w:rsidRDefault="009706F2" w:rsidP="007A29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5A8" w:rsidRPr="0033417B" w:rsidTr="001B35A8">
        <w:trPr>
          <w:trHeight w:val="312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6A1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граждан, получивших ежемесячную денежную компенсацию на оплату жилого помещения и коммунальных услуг (региональные  льготники)  в общей численности пенсионеров, проживающих на территории Удмуртской Республики 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270" w:type="pct"/>
            <w:shd w:val="clear" w:color="000000" w:fill="FFFFFF"/>
            <w:noWrap/>
          </w:tcPr>
          <w:p w:rsidR="00AE7666" w:rsidRPr="0033417B" w:rsidRDefault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  <w:r w:rsidR="009706F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33417B" w:rsidRDefault="007A29F0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35A8" w:rsidRPr="0033417B" w:rsidTr="001B35A8">
        <w:trPr>
          <w:trHeight w:val="312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3B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Удельный вес отдельных категорий граждан, получивших меры социальной поддержки в части уплаты транспортного налога, от общего числа заявителей, имеющих право на их  получение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0" w:type="pct"/>
            <w:shd w:val="clear" w:color="000000" w:fill="FFFFFF"/>
            <w:noWrap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33417B" w:rsidRDefault="007A29F0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5C26" w:rsidRPr="0033417B" w:rsidTr="001B35A8">
        <w:trPr>
          <w:trHeight w:val="312"/>
        </w:trPr>
        <w:tc>
          <w:tcPr>
            <w:tcW w:w="266" w:type="pct"/>
            <w:shd w:val="clear" w:color="000000" w:fill="FFFFFF"/>
          </w:tcPr>
          <w:p w:rsidR="009E5C26" w:rsidRPr="00AE7666" w:rsidRDefault="009E5C26" w:rsidP="00D730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9E5C26" w:rsidRPr="00AE7666" w:rsidRDefault="009E5C26" w:rsidP="00D730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pct"/>
            <w:shd w:val="clear" w:color="000000" w:fill="FFFFFF"/>
            <w:noWrap/>
          </w:tcPr>
          <w:p w:rsidR="009E5C26" w:rsidRPr="00AE7666" w:rsidRDefault="009E5C26" w:rsidP="003B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5" w:type="pct"/>
            <w:shd w:val="clear" w:color="000000" w:fill="FFFFFF"/>
          </w:tcPr>
          <w:p w:rsidR="009E5C26" w:rsidRPr="0033417B" w:rsidRDefault="009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C26">
              <w:rPr>
                <w:rFonts w:ascii="Times New Roman" w:hAnsi="Times New Roman" w:cs="Times New Roman"/>
                <w:sz w:val="20"/>
                <w:szCs w:val="20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310" w:type="pct"/>
            <w:shd w:val="clear" w:color="000000" w:fill="FFFFFF"/>
          </w:tcPr>
          <w:p w:rsidR="009E5C26" w:rsidRDefault="009E5C26" w:rsidP="009E5C26">
            <w:pPr>
              <w:jc w:val="center"/>
            </w:pPr>
            <w:r w:rsidRPr="00E504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9E5C26" w:rsidRPr="0033417B" w:rsidRDefault="009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70" w:type="pct"/>
            <w:shd w:val="clear" w:color="000000" w:fill="FFFFFF"/>
            <w:noWrap/>
          </w:tcPr>
          <w:p w:rsidR="009E5C26" w:rsidRPr="0033417B" w:rsidRDefault="009E5C26" w:rsidP="00E43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E435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000000" w:fill="FFFFFF"/>
          </w:tcPr>
          <w:p w:rsidR="009E5C26" w:rsidRPr="0033417B" w:rsidRDefault="009E5C26" w:rsidP="00E4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C85FCE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  <w:r w:rsidR="00E435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1" w:type="pct"/>
            <w:shd w:val="clear" w:color="000000" w:fill="FFFFFF"/>
          </w:tcPr>
          <w:p w:rsidR="009E5C26" w:rsidRPr="0033417B" w:rsidRDefault="009E5C2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9E5C26" w:rsidRDefault="00C85FCE" w:rsidP="00E43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  <w:r w:rsidR="00E435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6" w:type="pct"/>
            <w:shd w:val="clear" w:color="000000" w:fill="FFFFFF"/>
          </w:tcPr>
          <w:p w:rsidR="009E5C26" w:rsidRPr="0033417B" w:rsidRDefault="00C85FCE" w:rsidP="00C8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 численности малоимущих граждан </w:t>
            </w:r>
          </w:p>
        </w:tc>
      </w:tr>
      <w:tr w:rsidR="009E5C26" w:rsidRPr="0033417B" w:rsidTr="001B35A8">
        <w:trPr>
          <w:trHeight w:val="312"/>
        </w:trPr>
        <w:tc>
          <w:tcPr>
            <w:tcW w:w="266" w:type="pct"/>
            <w:shd w:val="clear" w:color="000000" w:fill="FFFFFF"/>
          </w:tcPr>
          <w:p w:rsidR="009E5C26" w:rsidRDefault="009E5C2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9E5C26" w:rsidRPr="00AE7666" w:rsidRDefault="009E5C2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pct"/>
            <w:shd w:val="clear" w:color="000000" w:fill="FFFFFF"/>
            <w:noWrap/>
          </w:tcPr>
          <w:p w:rsidR="009E5C26" w:rsidRPr="00AE7666" w:rsidRDefault="009E5C26" w:rsidP="003B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5" w:type="pct"/>
            <w:shd w:val="clear" w:color="000000" w:fill="FFFFFF"/>
          </w:tcPr>
          <w:p w:rsidR="009E5C26" w:rsidRPr="0033417B" w:rsidRDefault="009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C26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</w:t>
            </w:r>
            <w:r w:rsidRPr="009E5C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310" w:type="pct"/>
            <w:shd w:val="clear" w:color="000000" w:fill="FFFFFF"/>
          </w:tcPr>
          <w:p w:rsidR="009E5C26" w:rsidRDefault="009E5C26" w:rsidP="009E5C26">
            <w:pPr>
              <w:jc w:val="center"/>
            </w:pPr>
            <w:r w:rsidRPr="00E50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308" w:type="pct"/>
            <w:shd w:val="clear" w:color="000000" w:fill="FFFFFF"/>
          </w:tcPr>
          <w:p w:rsidR="009E5C26" w:rsidRPr="0033417B" w:rsidRDefault="009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270" w:type="pct"/>
            <w:shd w:val="clear" w:color="000000" w:fill="FFFFFF"/>
            <w:noWrap/>
          </w:tcPr>
          <w:p w:rsidR="009E5C26" w:rsidRPr="0033417B" w:rsidRDefault="009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50" w:type="pct"/>
            <w:shd w:val="clear" w:color="000000" w:fill="FFFFFF"/>
          </w:tcPr>
          <w:p w:rsidR="009E5C26" w:rsidRPr="0033417B" w:rsidRDefault="009E5C2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1,368</w:t>
            </w:r>
          </w:p>
        </w:tc>
        <w:tc>
          <w:tcPr>
            <w:tcW w:w="451" w:type="pct"/>
            <w:shd w:val="clear" w:color="000000" w:fill="FFFFFF"/>
          </w:tcPr>
          <w:p w:rsidR="009E5C26" w:rsidRPr="0033417B" w:rsidRDefault="009E5C2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9E5C26" w:rsidRDefault="009E5C26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9E5C26" w:rsidRPr="0033417B" w:rsidRDefault="009E5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C26" w:rsidRPr="0033417B" w:rsidTr="001B35A8">
        <w:trPr>
          <w:trHeight w:val="312"/>
        </w:trPr>
        <w:tc>
          <w:tcPr>
            <w:tcW w:w="266" w:type="pct"/>
            <w:shd w:val="clear" w:color="000000" w:fill="FFFFFF"/>
          </w:tcPr>
          <w:p w:rsidR="009E5C26" w:rsidRDefault="009E5C2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2" w:type="pct"/>
            <w:shd w:val="clear" w:color="000000" w:fill="FFFFFF"/>
          </w:tcPr>
          <w:p w:rsidR="009E5C26" w:rsidRPr="00AE7666" w:rsidRDefault="009E5C26" w:rsidP="00FB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pct"/>
            <w:shd w:val="clear" w:color="000000" w:fill="FFFFFF"/>
            <w:noWrap/>
          </w:tcPr>
          <w:p w:rsidR="009E5C26" w:rsidRPr="00AE7666" w:rsidRDefault="009E5C26" w:rsidP="003B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5" w:type="pct"/>
            <w:shd w:val="clear" w:color="000000" w:fill="FFFFFF"/>
          </w:tcPr>
          <w:p w:rsidR="009E5C26" w:rsidRPr="0033417B" w:rsidRDefault="009E5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C26">
              <w:rPr>
                <w:rFonts w:ascii="Times New Roman" w:hAnsi="Times New Roman" w:cs="Times New Roman"/>
                <w:sz w:val="20"/>
                <w:szCs w:val="20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310" w:type="pct"/>
            <w:shd w:val="clear" w:color="000000" w:fill="FFFFFF"/>
          </w:tcPr>
          <w:p w:rsidR="009E5C26" w:rsidRPr="0033417B" w:rsidRDefault="009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9E5C26" w:rsidRPr="0033417B" w:rsidRDefault="009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270" w:type="pct"/>
            <w:shd w:val="clear" w:color="000000" w:fill="FFFFFF"/>
            <w:noWrap/>
          </w:tcPr>
          <w:p w:rsidR="009E5C26" w:rsidRPr="0033417B" w:rsidRDefault="009E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50" w:type="pct"/>
            <w:shd w:val="clear" w:color="000000" w:fill="FFFFFF"/>
          </w:tcPr>
          <w:p w:rsidR="009E5C26" w:rsidRPr="0033417B" w:rsidRDefault="009E5C2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1,282</w:t>
            </w:r>
          </w:p>
        </w:tc>
        <w:tc>
          <w:tcPr>
            <w:tcW w:w="451" w:type="pct"/>
            <w:shd w:val="clear" w:color="000000" w:fill="FFFFFF"/>
          </w:tcPr>
          <w:p w:rsidR="009E5C26" w:rsidRPr="0033417B" w:rsidRDefault="009E5C2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9E5C26" w:rsidRDefault="009E5C26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9E5C26" w:rsidRPr="0033417B" w:rsidRDefault="009E5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666" w:rsidRPr="0033417B" w:rsidTr="009E5C26">
        <w:trPr>
          <w:trHeight w:val="302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B1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B1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2" w:type="pct"/>
            <w:gridSpan w:val="9"/>
            <w:shd w:val="clear" w:color="000000" w:fill="FFFFFF"/>
          </w:tcPr>
          <w:p w:rsidR="00AE7666" w:rsidRPr="00AE7666" w:rsidRDefault="00AE7666" w:rsidP="00B1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«Реализация демографической и семейной политики, совершенствование социальной поддержки семей с детьми»</w:t>
            </w: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684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Удельный вес детей, находящихся в социально опасном положении, в общей численности детского населения Удмуртской Республики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AE7666" w:rsidP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706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000000" w:fill="FFFFFF"/>
          </w:tcPr>
          <w:p w:rsidR="00AE7666" w:rsidRPr="0033417B" w:rsidRDefault="00AE7666" w:rsidP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706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05" w:type="pct"/>
            <w:shd w:val="clear" w:color="000000" w:fill="FFFFFF"/>
          </w:tcPr>
          <w:p w:rsidR="00AE7666" w:rsidRPr="0033417B" w:rsidRDefault="007A29F0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  <w:vAlign w:val="bottom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единиц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8773</w:t>
            </w:r>
          </w:p>
        </w:tc>
        <w:tc>
          <w:tcPr>
            <w:tcW w:w="270" w:type="pct"/>
            <w:shd w:val="clear" w:color="000000" w:fill="FFFFFF"/>
          </w:tcPr>
          <w:p w:rsidR="00AE7666" w:rsidRPr="0033417B" w:rsidRDefault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12720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9706F2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1,450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33417B" w:rsidRDefault="007A29F0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6331C3" w:rsidRPr="00AE7666" w:rsidRDefault="006331C3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2" w:type="pct"/>
            <w:shd w:val="clear" w:color="000000" w:fill="FFFFFF"/>
          </w:tcPr>
          <w:p w:rsidR="006331C3" w:rsidRPr="00AE7666" w:rsidRDefault="006331C3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" w:type="pct"/>
            <w:shd w:val="clear" w:color="000000" w:fill="FFFFFF"/>
            <w:noWrap/>
          </w:tcPr>
          <w:p w:rsidR="006331C3" w:rsidRPr="00AE7666" w:rsidRDefault="006331C3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5" w:type="pct"/>
            <w:shd w:val="clear" w:color="000000" w:fill="FFFFFF"/>
          </w:tcPr>
          <w:p w:rsidR="006331C3" w:rsidRPr="0033417B" w:rsidRDefault="006331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Охват граждан старше трудоспособного возраста профилактическими осмотрами, включая диспансеризацию </w:t>
            </w:r>
          </w:p>
        </w:tc>
        <w:tc>
          <w:tcPr>
            <w:tcW w:w="310" w:type="pct"/>
            <w:shd w:val="clear" w:color="000000" w:fill="FFFFFF"/>
          </w:tcPr>
          <w:p w:rsidR="006331C3" w:rsidRPr="0033417B" w:rsidRDefault="006331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6331C3" w:rsidRPr="0033417B" w:rsidRDefault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270" w:type="pct"/>
            <w:shd w:val="clear" w:color="000000" w:fill="FFFFFF"/>
          </w:tcPr>
          <w:p w:rsidR="006331C3" w:rsidRPr="0033417B" w:rsidRDefault="009706F2" w:rsidP="0097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450" w:type="pct"/>
            <w:shd w:val="clear" w:color="000000" w:fill="FFFFFF"/>
          </w:tcPr>
          <w:p w:rsidR="006331C3" w:rsidRPr="0033417B" w:rsidRDefault="009706F2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0,429</w:t>
            </w:r>
          </w:p>
        </w:tc>
        <w:tc>
          <w:tcPr>
            <w:tcW w:w="451" w:type="pct"/>
            <w:shd w:val="clear" w:color="000000" w:fill="FFFFFF"/>
          </w:tcPr>
          <w:p w:rsidR="006331C3" w:rsidRPr="0033417B" w:rsidRDefault="006331C3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6331C3" w:rsidRPr="0033417B" w:rsidRDefault="009706F2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0,429</w:t>
            </w:r>
          </w:p>
        </w:tc>
        <w:tc>
          <w:tcPr>
            <w:tcW w:w="856" w:type="pct"/>
            <w:vMerge w:val="restart"/>
            <w:shd w:val="clear" w:color="000000" w:fill="FFFFFF"/>
            <w:vAlign w:val="center"/>
          </w:tcPr>
          <w:p w:rsidR="009706F2" w:rsidRPr="009706F2" w:rsidRDefault="006331C3" w:rsidP="006E3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Плановые значения показателй на 202</w:t>
            </w:r>
            <w:r w:rsidR="00970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 xml:space="preserve"> год   скорректирваны  дополнительным соглашением с Минтрудом РФ </w:t>
            </w:r>
            <w:r w:rsidR="009706F2" w:rsidRPr="009706F2">
              <w:rPr>
                <w:rFonts w:ascii="Times New Roman" w:hAnsi="Times New Roman" w:cs="Times New Roman"/>
                <w:sz w:val="20"/>
                <w:szCs w:val="20"/>
              </w:rPr>
              <w:t xml:space="preserve">от 18.10.2021 №149-2019-Р30018-1/5 и составили: </w:t>
            </w:r>
          </w:p>
          <w:p w:rsidR="009706F2" w:rsidRPr="009706F2" w:rsidRDefault="009706F2" w:rsidP="006E3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6F2">
              <w:rPr>
                <w:rFonts w:ascii="Times New Roman" w:hAnsi="Times New Roman" w:cs="Times New Roman"/>
                <w:sz w:val="20"/>
                <w:szCs w:val="20"/>
              </w:rPr>
              <w:t xml:space="preserve">- охват граждан старше трудоспособного возраста профилактическими осмотрами, включая диспансеризацию 12,9%; </w:t>
            </w:r>
          </w:p>
          <w:p w:rsidR="009706F2" w:rsidRDefault="009706F2" w:rsidP="006E3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6F2">
              <w:rPr>
                <w:rFonts w:ascii="Times New Roman" w:hAnsi="Times New Roman" w:cs="Times New Roman"/>
                <w:sz w:val="20"/>
                <w:szCs w:val="20"/>
              </w:rPr>
              <w:t xml:space="preserve">- доля лиц старше трудоспособного возраста, у которых выявлены заболевания и патологические состояния, находящихся под диспансерным наблюдением 61,1%; </w:t>
            </w:r>
          </w:p>
          <w:p w:rsidR="0075442E" w:rsidRPr="009706F2" w:rsidRDefault="0075442E" w:rsidP="006E3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1C3" w:rsidRPr="0033417B" w:rsidRDefault="009706F2" w:rsidP="006E3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6F2">
              <w:rPr>
                <w:rFonts w:ascii="Times New Roman" w:hAnsi="Times New Roman" w:cs="Times New Roman"/>
                <w:sz w:val="20"/>
                <w:szCs w:val="20"/>
              </w:rPr>
              <w:t>- уровень госпитализации на геронтологические койки лиц старше 60 лет на 10 тыс. населения соответствующего возраста 31,6 у.е.</w:t>
            </w: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6331C3" w:rsidRPr="00AE7666" w:rsidRDefault="006331C3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6331C3" w:rsidRPr="00AE7666" w:rsidRDefault="006331C3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" w:type="pct"/>
            <w:shd w:val="clear" w:color="000000" w:fill="FFFFFF"/>
            <w:noWrap/>
          </w:tcPr>
          <w:p w:rsidR="006331C3" w:rsidRPr="00AE7666" w:rsidRDefault="006331C3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5" w:type="pct"/>
            <w:shd w:val="clear" w:color="000000" w:fill="FFFFFF"/>
          </w:tcPr>
          <w:p w:rsidR="006331C3" w:rsidRPr="0033417B" w:rsidRDefault="00633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Доля лиц старше трудоспособного возраста, у которых выявлены заболевания и патологические состояния, находящихся под диспансерным наблюдением</w:t>
            </w:r>
          </w:p>
        </w:tc>
        <w:tc>
          <w:tcPr>
            <w:tcW w:w="310" w:type="pct"/>
            <w:shd w:val="clear" w:color="000000" w:fill="FFFFFF"/>
          </w:tcPr>
          <w:p w:rsidR="006331C3" w:rsidRPr="0033417B" w:rsidRDefault="006331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6331C3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270" w:type="pct"/>
            <w:shd w:val="clear" w:color="000000" w:fill="FFFFFF"/>
          </w:tcPr>
          <w:p w:rsidR="006331C3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450" w:type="pct"/>
            <w:shd w:val="clear" w:color="000000" w:fill="FFFFFF"/>
          </w:tcPr>
          <w:p w:rsidR="006331C3" w:rsidRPr="0033417B" w:rsidRDefault="006E3D15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0,851</w:t>
            </w:r>
          </w:p>
        </w:tc>
        <w:tc>
          <w:tcPr>
            <w:tcW w:w="451" w:type="pct"/>
            <w:shd w:val="clear" w:color="000000" w:fill="FFFFFF"/>
          </w:tcPr>
          <w:p w:rsidR="006331C3" w:rsidRPr="0033417B" w:rsidRDefault="006331C3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6331C3" w:rsidRPr="0033417B" w:rsidRDefault="006E3D15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0,851</w:t>
            </w:r>
          </w:p>
        </w:tc>
        <w:tc>
          <w:tcPr>
            <w:tcW w:w="856" w:type="pct"/>
            <w:vMerge/>
            <w:shd w:val="clear" w:color="000000" w:fill="FFFFFF"/>
            <w:vAlign w:val="center"/>
          </w:tcPr>
          <w:p w:rsidR="006331C3" w:rsidRPr="0033417B" w:rsidRDefault="00633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6331C3" w:rsidRPr="00AE7666" w:rsidRDefault="006331C3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6331C3" w:rsidRPr="00AE7666" w:rsidRDefault="006331C3" w:rsidP="00FB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" w:type="pct"/>
            <w:shd w:val="clear" w:color="000000" w:fill="FFFFFF"/>
            <w:noWrap/>
          </w:tcPr>
          <w:p w:rsidR="006331C3" w:rsidRPr="00AE7666" w:rsidRDefault="006331C3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5" w:type="pct"/>
            <w:shd w:val="clear" w:color="000000" w:fill="FFFFFF"/>
          </w:tcPr>
          <w:p w:rsidR="006331C3" w:rsidRPr="0033417B" w:rsidRDefault="00633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Уровень госпитализации на геронтологические койки лиц старше 60 лет на 10 тыс. населения соответствующего возраста</w:t>
            </w:r>
          </w:p>
        </w:tc>
        <w:tc>
          <w:tcPr>
            <w:tcW w:w="310" w:type="pct"/>
            <w:shd w:val="clear" w:color="000000" w:fill="FFFFFF"/>
          </w:tcPr>
          <w:p w:rsidR="006331C3" w:rsidRPr="0033417B" w:rsidRDefault="00633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308" w:type="pct"/>
            <w:shd w:val="clear" w:color="000000" w:fill="FFFFFF"/>
          </w:tcPr>
          <w:p w:rsidR="006331C3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270" w:type="pct"/>
            <w:shd w:val="clear" w:color="000000" w:fill="FFFFFF"/>
          </w:tcPr>
          <w:p w:rsidR="006331C3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450" w:type="pct"/>
            <w:shd w:val="clear" w:color="000000" w:fill="FFFFFF"/>
          </w:tcPr>
          <w:p w:rsidR="006331C3" w:rsidRPr="0033417B" w:rsidRDefault="006E3D15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0,866</w:t>
            </w:r>
          </w:p>
        </w:tc>
        <w:tc>
          <w:tcPr>
            <w:tcW w:w="451" w:type="pct"/>
            <w:shd w:val="clear" w:color="000000" w:fill="FFFFFF"/>
          </w:tcPr>
          <w:p w:rsidR="006331C3" w:rsidRPr="0033417B" w:rsidRDefault="006331C3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6331C3" w:rsidRPr="0033417B" w:rsidRDefault="006E3D15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0,866</w:t>
            </w:r>
          </w:p>
        </w:tc>
        <w:tc>
          <w:tcPr>
            <w:tcW w:w="856" w:type="pct"/>
            <w:vMerge/>
            <w:shd w:val="clear" w:color="000000" w:fill="FFFFFF"/>
            <w:vAlign w:val="center"/>
          </w:tcPr>
          <w:p w:rsidR="006331C3" w:rsidRPr="0033417B" w:rsidRDefault="00633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666" w:rsidRPr="0033417B" w:rsidTr="009E5C26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913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913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2" w:type="pct"/>
            <w:gridSpan w:val="9"/>
            <w:shd w:val="clear" w:color="000000" w:fill="FFFFFF"/>
          </w:tcPr>
          <w:p w:rsidR="00AE7666" w:rsidRPr="00AE7666" w:rsidRDefault="00AE7666" w:rsidP="00913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Подпрограмма «Создание условий для реализации государственной программы»</w:t>
            </w: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стационарными </w:t>
            </w:r>
            <w:r w:rsidRPr="00334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организациями социального обслуживания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 на </w:t>
            </w:r>
            <w:r w:rsidRPr="00334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тыс. жителей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7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33417B" w:rsidRDefault="007A29F0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6E3D15" w:rsidRPr="00AE7666" w:rsidRDefault="006E3D15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2" w:type="pct"/>
            <w:shd w:val="clear" w:color="000000" w:fill="FFFFFF"/>
          </w:tcPr>
          <w:p w:rsidR="006E3D15" w:rsidRPr="00AE7666" w:rsidRDefault="006E3D15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" w:type="pct"/>
            <w:shd w:val="clear" w:color="000000" w:fill="FFFFFF"/>
            <w:noWrap/>
          </w:tcPr>
          <w:p w:rsidR="006E3D15" w:rsidRPr="00AE7666" w:rsidRDefault="006E3D15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pct"/>
            <w:shd w:val="clear" w:color="000000" w:fill="FFFFFF"/>
          </w:tcPr>
          <w:p w:rsidR="006E3D15" w:rsidRPr="0033417B" w:rsidRDefault="006E3D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Удельный вес детей-инвалидов, получивших социальные услуги в организациях социального обслуживания, в общей численности детей-инвалидов</w:t>
            </w:r>
          </w:p>
        </w:tc>
        <w:tc>
          <w:tcPr>
            <w:tcW w:w="310" w:type="pct"/>
            <w:shd w:val="clear" w:color="000000" w:fill="FFFFFF"/>
          </w:tcPr>
          <w:p w:rsidR="006E3D15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6E3D15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270" w:type="pct"/>
            <w:shd w:val="clear" w:color="000000" w:fill="FFFFFF"/>
          </w:tcPr>
          <w:p w:rsidR="006E3D15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450" w:type="pct"/>
            <w:shd w:val="clear" w:color="000000" w:fill="FFFFFF"/>
          </w:tcPr>
          <w:p w:rsidR="006E3D15" w:rsidRPr="0033417B" w:rsidRDefault="006E3D15" w:rsidP="0025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51" w:type="pct"/>
            <w:shd w:val="clear" w:color="000000" w:fill="FFFFFF"/>
          </w:tcPr>
          <w:p w:rsidR="006E3D15" w:rsidRPr="0033417B" w:rsidRDefault="006E3D15" w:rsidP="0025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6E3D15" w:rsidRPr="0033417B" w:rsidRDefault="006E3D15" w:rsidP="0025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6E3D15" w:rsidRPr="0033417B" w:rsidRDefault="006E3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Удельный вес зданий стационарных организаций  социального обслуживания граждан пожилого возраста, инвалидов (взрослых и детей), лиц без определенного места жительства и занятий, требующих реконструкции, зданий, находящихся в аварийном состоянии, ветхих зданий, от общего количества зданий стационарных организаций социального обслуживания граждан пожилого возраста, инвалидов (взрослых и детей), лиц без определенного места жительства и занятий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33417B" w:rsidRDefault="007A29F0" w:rsidP="007A29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Количество пожилых людей, принявших участие в республиканских, городских и районных мероприятиях, посвященных Дню Победы, Международному дню пожилых людей, Международному дню инвалидов и иных мероприятиях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0" w:type="pct"/>
            <w:shd w:val="clear" w:color="000000" w:fill="FFFFFF"/>
          </w:tcPr>
          <w:p w:rsidR="00AE7666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6E3D15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33417B" w:rsidRDefault="007A29F0" w:rsidP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E3D1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 w:rsidP="006E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В связи со сложившейся в 202</w:t>
            </w:r>
            <w:r w:rsidR="006E3D1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году  эпидемиологической ситуацией, распространением новой коронавирусной инфекции и введением ограничительных мер</w:t>
            </w: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 xml:space="preserve">Доля средств бюджета Удмуртской Республики, выделяемых </w:t>
            </w:r>
            <w:r w:rsidRPr="00334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негосударственным организациям, в том числе социально ориентированным некоммерческим организациям, на предоставление услуг, в общем объеме средств бюджета Удмуртской Республики выделяемых на предоставление социального обслуживания и социального сопровождения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6E3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6E3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33417B" w:rsidRDefault="007A29F0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5" w:type="pct"/>
            <w:shd w:val="clear" w:color="000000" w:fill="FFFFFF"/>
          </w:tcPr>
          <w:p w:rsidR="00AE7666" w:rsidRPr="0033417B" w:rsidRDefault="00AE7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организаций социального обслуживания, основанных на иных формах собственности, в общем количестве организаций социального обслуживания всех форм собственности 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AE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270" w:type="pct"/>
            <w:shd w:val="clear" w:color="000000" w:fill="FFFFFF"/>
          </w:tcPr>
          <w:p w:rsidR="00AE7666" w:rsidRPr="0033417B" w:rsidRDefault="006E3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6E3D15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5,294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33417B" w:rsidRDefault="007A29F0" w:rsidP="007A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D86C1E" w:rsidP="0033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C1E">
              <w:rPr>
                <w:rFonts w:ascii="Times New Roman" w:hAnsi="Times New Roman" w:cs="Times New Roman"/>
                <w:sz w:val="20"/>
                <w:szCs w:val="20"/>
              </w:rPr>
              <w:t>Значительное увеличение удельного веса организаций социального обслуживания, основанных на иных формах собственности, связано в том числе с процессом реорганизации государственных организаций социального обслуживания</w:t>
            </w:r>
          </w:p>
        </w:tc>
      </w:tr>
      <w:tr w:rsidR="00AE7666" w:rsidRPr="0033417B" w:rsidTr="009E5C26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B1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B1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2" w:type="pct"/>
            <w:gridSpan w:val="9"/>
            <w:shd w:val="clear" w:color="000000" w:fill="FFFFFF"/>
          </w:tcPr>
          <w:p w:rsidR="00AE7666" w:rsidRPr="00AE7666" w:rsidRDefault="00AE7666" w:rsidP="00B14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«Комплексная реабилитация и ресоциализация лиц, потребляющих наркотические средства и психотропные вещества»</w:t>
            </w: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6D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pct"/>
            <w:shd w:val="clear" w:color="000000" w:fill="FFFFFF"/>
          </w:tcPr>
          <w:p w:rsidR="00AE7666" w:rsidRPr="00AE7666" w:rsidRDefault="00AE7666" w:rsidP="004356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sz w:val="20"/>
                <w:szCs w:val="20"/>
              </w:rPr>
              <w:t>Удельный вес проведенных Министерством контрольных мероприятий (ревизий и проверок) использования ресурсного обеспечения государственной программы к числу запланированных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E4352A" w:rsidP="00B141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AE7666" w:rsidP="00B141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0" w:type="pct"/>
            <w:shd w:val="clear" w:color="000000" w:fill="FFFFFF"/>
          </w:tcPr>
          <w:p w:rsidR="00AE7666" w:rsidRPr="0033417B" w:rsidRDefault="00AE7666" w:rsidP="00B141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CA22B0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7A29F0" w:rsidRDefault="00CA22B0" w:rsidP="007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5A8" w:rsidRPr="0033417B" w:rsidTr="001B35A8">
        <w:trPr>
          <w:trHeight w:val="368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FB1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" w:type="pct"/>
            <w:shd w:val="clear" w:color="000000" w:fill="FFFFFF"/>
            <w:noWrap/>
          </w:tcPr>
          <w:p w:rsidR="00AE7666" w:rsidRPr="00AE7666" w:rsidRDefault="00AE7666" w:rsidP="0043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pct"/>
            <w:shd w:val="clear" w:color="000000" w:fill="FFFFFF"/>
          </w:tcPr>
          <w:p w:rsidR="00AE7666" w:rsidRPr="00AE7666" w:rsidRDefault="00AE7666" w:rsidP="004356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7666">
              <w:rPr>
                <w:rFonts w:ascii="Times New Roman" w:hAnsi="Times New Roman" w:cs="Times New Roman"/>
                <w:sz w:val="20"/>
                <w:szCs w:val="20"/>
              </w:rPr>
              <w:t>Уровень выполнения значений целевых показателей (индикаторов) государственной программы</w:t>
            </w:r>
          </w:p>
        </w:tc>
        <w:tc>
          <w:tcPr>
            <w:tcW w:w="310" w:type="pct"/>
            <w:shd w:val="clear" w:color="000000" w:fill="FFFFFF"/>
          </w:tcPr>
          <w:p w:rsidR="00AE7666" w:rsidRPr="0033417B" w:rsidRDefault="00E4352A" w:rsidP="00B141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8" w:type="pct"/>
            <w:shd w:val="clear" w:color="000000" w:fill="FFFFFF"/>
          </w:tcPr>
          <w:p w:rsidR="00AE7666" w:rsidRPr="0033417B" w:rsidRDefault="00AE7666" w:rsidP="00B141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sz w:val="20"/>
                <w:szCs w:val="20"/>
              </w:rPr>
              <w:t>не менее 90</w:t>
            </w:r>
          </w:p>
        </w:tc>
        <w:tc>
          <w:tcPr>
            <w:tcW w:w="270" w:type="pct"/>
            <w:shd w:val="clear" w:color="000000" w:fill="FFFFFF"/>
          </w:tcPr>
          <w:p w:rsidR="00AE7666" w:rsidRPr="0033417B" w:rsidRDefault="00E4352A" w:rsidP="00C85F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450" w:type="pct"/>
            <w:shd w:val="clear" w:color="000000" w:fill="FFFFFF"/>
          </w:tcPr>
          <w:p w:rsidR="00AE7666" w:rsidRPr="0033417B" w:rsidRDefault="009E5C26" w:rsidP="00C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1,04</w:t>
            </w:r>
            <w:r w:rsidR="00E435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1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000000" w:fill="FFFFFF"/>
          </w:tcPr>
          <w:p w:rsidR="00AE7666" w:rsidRPr="007A29F0" w:rsidRDefault="007A29F0" w:rsidP="007A2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2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856" w:type="pct"/>
            <w:shd w:val="clear" w:color="000000" w:fill="FFFFFF"/>
          </w:tcPr>
          <w:p w:rsidR="00AE7666" w:rsidRPr="0033417B" w:rsidRDefault="00AE7666" w:rsidP="00B141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31C3" w:rsidRPr="0033417B" w:rsidTr="001B35A8">
        <w:trPr>
          <w:trHeight w:val="216"/>
        </w:trPr>
        <w:tc>
          <w:tcPr>
            <w:tcW w:w="266" w:type="pct"/>
            <w:shd w:val="clear" w:color="000000" w:fill="FFFFFF"/>
          </w:tcPr>
          <w:p w:rsidR="00AE7666" w:rsidRPr="00AE7666" w:rsidRDefault="00AE7666" w:rsidP="0043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000000" w:fill="FFFFFF"/>
          </w:tcPr>
          <w:p w:rsidR="00AE7666" w:rsidRPr="00AE7666" w:rsidRDefault="00AE7666" w:rsidP="0043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000000" w:fill="FFFFFF"/>
            <w:noWrap/>
            <w:hideMark/>
          </w:tcPr>
          <w:p w:rsidR="00AE7666" w:rsidRPr="00AE7666" w:rsidRDefault="00AE7666" w:rsidP="0043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pct"/>
            <w:gridSpan w:val="4"/>
            <w:shd w:val="clear" w:color="000000" w:fill="FFFFFF"/>
          </w:tcPr>
          <w:p w:rsidR="00AE7666" w:rsidRPr="00AE7666" w:rsidRDefault="00AE7666" w:rsidP="00B1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901" w:type="pct"/>
            <w:gridSpan w:val="2"/>
            <w:shd w:val="clear" w:color="000000" w:fill="FFFFFF"/>
          </w:tcPr>
          <w:p w:rsidR="00AE7666" w:rsidRPr="0033417B" w:rsidRDefault="00AE7666" w:rsidP="00E16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1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∑СД</w:t>
            </w:r>
            <w:r w:rsidRPr="003341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bscript"/>
              </w:rPr>
              <w:t>ЦП</w:t>
            </w:r>
          </w:p>
        </w:tc>
        <w:tc>
          <w:tcPr>
            <w:tcW w:w="405" w:type="pct"/>
            <w:shd w:val="clear" w:color="000000" w:fill="FFFFFF"/>
          </w:tcPr>
          <w:p w:rsidR="00AE7666" w:rsidRPr="0033417B" w:rsidRDefault="008E053E" w:rsidP="00E43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</w:t>
            </w:r>
            <w:r w:rsidR="00E435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756</w:t>
            </w:r>
          </w:p>
        </w:tc>
        <w:tc>
          <w:tcPr>
            <w:tcW w:w="856" w:type="pct"/>
            <w:shd w:val="clear" w:color="000000" w:fill="FFFFFF"/>
            <w:hideMark/>
          </w:tcPr>
          <w:p w:rsidR="00AE7666" w:rsidRPr="0033417B" w:rsidRDefault="00AE7666" w:rsidP="00B1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34506" w:rsidRPr="0033417B" w:rsidRDefault="00634506" w:rsidP="00F54E1C">
      <w:pPr>
        <w:pStyle w:val="Style3"/>
        <w:widowControl/>
        <w:tabs>
          <w:tab w:val="left" w:pos="7699"/>
        </w:tabs>
        <w:ind w:firstLine="709"/>
        <w:rPr>
          <w:sz w:val="20"/>
          <w:szCs w:val="20"/>
        </w:rPr>
      </w:pPr>
    </w:p>
    <w:p w:rsidR="00684258" w:rsidRPr="001B2BFB" w:rsidRDefault="00684258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</w:p>
    <w:p w:rsidR="00B95373" w:rsidRPr="001B2BFB" w:rsidRDefault="00B95373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  <w:r w:rsidRPr="001B2BFB">
        <w:rPr>
          <w:sz w:val="22"/>
          <w:szCs w:val="22"/>
        </w:rPr>
        <w:lastRenderedPageBreak/>
        <w:t>СД</w:t>
      </w:r>
      <w:r w:rsidRPr="001B2BFB">
        <w:rPr>
          <w:sz w:val="22"/>
          <w:szCs w:val="22"/>
          <w:vertAlign w:val="subscript"/>
        </w:rPr>
        <w:t>ЦП</w:t>
      </w:r>
      <w:r w:rsidRPr="001B2BFB">
        <w:rPr>
          <w:sz w:val="22"/>
          <w:szCs w:val="22"/>
        </w:rPr>
        <w:t xml:space="preserve"> – степень достижения планового значения целевого показателя (индикатора);</w:t>
      </w:r>
    </w:p>
    <w:p w:rsidR="00B95373" w:rsidRPr="001B2BFB" w:rsidRDefault="00B95373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ЗП</w:t>
      </w:r>
      <w:r w:rsidRPr="001B2BFB">
        <w:rPr>
          <w:sz w:val="22"/>
          <w:szCs w:val="22"/>
          <w:vertAlign w:val="subscript"/>
        </w:rPr>
        <w:t>Ф</w:t>
      </w:r>
      <w:r w:rsidRPr="001B2BFB">
        <w:rPr>
          <w:sz w:val="22"/>
          <w:szCs w:val="22"/>
        </w:rPr>
        <w:t xml:space="preserve"> – фактическое значение целевого показателя (индикатора), достигнутое на конец отчетного года;</w:t>
      </w:r>
    </w:p>
    <w:p w:rsidR="00B95373" w:rsidRDefault="00B95373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  <w:r w:rsidRPr="001B2BFB">
        <w:rPr>
          <w:sz w:val="22"/>
          <w:szCs w:val="22"/>
        </w:rPr>
        <w:t>ЗП</w:t>
      </w:r>
      <w:r w:rsidRPr="001B2BFB">
        <w:rPr>
          <w:sz w:val="22"/>
          <w:szCs w:val="22"/>
          <w:vertAlign w:val="subscript"/>
        </w:rPr>
        <w:t>П</w:t>
      </w:r>
      <w:r w:rsidRPr="001B2BFB">
        <w:rPr>
          <w:sz w:val="22"/>
          <w:szCs w:val="22"/>
        </w:rPr>
        <w:t xml:space="preserve"> – плановое значение целевого показателя (индикатора).</w:t>
      </w:r>
    </w:p>
    <w:p w:rsidR="007164B3" w:rsidRDefault="007164B3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</w:p>
    <w:p w:rsidR="007164B3" w:rsidRDefault="007164B3" w:rsidP="007164B3">
      <w:pPr>
        <w:pStyle w:val="Style3"/>
        <w:widowControl/>
        <w:tabs>
          <w:tab w:val="left" w:pos="7699"/>
        </w:tabs>
        <w:rPr>
          <w:sz w:val="22"/>
          <w:szCs w:val="22"/>
        </w:rPr>
      </w:pPr>
      <w:r w:rsidRPr="006331C3">
        <w:rPr>
          <w:sz w:val="22"/>
          <w:szCs w:val="22"/>
        </w:rPr>
        <w:t>* В связи с отсутствием фактических значений показателей за 202</w:t>
      </w:r>
      <w:r w:rsidR="00D86C1E">
        <w:rPr>
          <w:sz w:val="22"/>
          <w:szCs w:val="22"/>
        </w:rPr>
        <w:t>1</w:t>
      </w:r>
      <w:r w:rsidRPr="006331C3">
        <w:rPr>
          <w:sz w:val="22"/>
          <w:szCs w:val="22"/>
        </w:rPr>
        <w:t xml:space="preserve">год на момент формирования отчета для расчета приняты значения показателей </w:t>
      </w:r>
      <w:r>
        <w:rPr>
          <w:sz w:val="22"/>
          <w:szCs w:val="22"/>
        </w:rPr>
        <w:t>20</w:t>
      </w:r>
      <w:r w:rsidR="00D86C1E">
        <w:rPr>
          <w:sz w:val="22"/>
          <w:szCs w:val="22"/>
        </w:rPr>
        <w:t>20</w:t>
      </w:r>
      <w:r>
        <w:rPr>
          <w:sz w:val="22"/>
          <w:szCs w:val="22"/>
        </w:rPr>
        <w:t xml:space="preserve"> года.</w:t>
      </w:r>
      <w:r w:rsidRPr="006331C3">
        <w:rPr>
          <w:sz w:val="22"/>
          <w:szCs w:val="22"/>
        </w:rPr>
        <w:t xml:space="preserve">  </w:t>
      </w:r>
    </w:p>
    <w:p w:rsidR="002604F9" w:rsidRPr="001B2BFB" w:rsidRDefault="00F54E1C" w:rsidP="004944C8">
      <w:pPr>
        <w:pStyle w:val="Style3"/>
        <w:widowControl/>
        <w:tabs>
          <w:tab w:val="left" w:pos="7699"/>
        </w:tabs>
        <w:ind w:left="709"/>
        <w:jc w:val="both"/>
        <w:rPr>
          <w:sz w:val="22"/>
          <w:szCs w:val="22"/>
        </w:rPr>
      </w:pPr>
      <w:r w:rsidRPr="001B2BFB">
        <w:rPr>
          <w:sz w:val="22"/>
          <w:szCs w:val="22"/>
        </w:rPr>
        <w:t xml:space="preserve">2) </w:t>
      </w:r>
      <w:r w:rsidR="002604F9" w:rsidRPr="001B2BFB">
        <w:rPr>
          <w:sz w:val="22"/>
          <w:szCs w:val="22"/>
        </w:rPr>
        <w:t>Оценивается степень достижения плановых значений целевых показателей (индикаторов) государственной программы</w:t>
      </w:r>
      <w:r w:rsidRPr="001B2BFB">
        <w:rPr>
          <w:sz w:val="22"/>
          <w:szCs w:val="22"/>
        </w:rPr>
        <w:t xml:space="preserve"> в ц</w:t>
      </w:r>
      <w:r w:rsidR="002604F9" w:rsidRPr="001B2BFB">
        <w:rPr>
          <w:sz w:val="22"/>
          <w:szCs w:val="22"/>
        </w:rPr>
        <w:t>елом по следующей формуле:</w:t>
      </w:r>
    </w:p>
    <w:p w:rsidR="00071841" w:rsidRPr="001B2BFB" w:rsidRDefault="00071841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</w:p>
    <w:p w:rsidR="002604F9" w:rsidRPr="001B2BFB" w:rsidRDefault="002604F9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  <w:r w:rsidRPr="001B2BFB">
        <w:rPr>
          <w:sz w:val="22"/>
          <w:szCs w:val="22"/>
        </w:rPr>
        <w:t>СД</w:t>
      </w:r>
      <w:r w:rsidR="00DD799E" w:rsidRPr="001B2BFB">
        <w:rPr>
          <w:sz w:val="22"/>
          <w:szCs w:val="22"/>
          <w:vertAlign w:val="subscript"/>
        </w:rPr>
        <w:t>Г/П</w:t>
      </w:r>
      <w:r w:rsidR="00DD799E" w:rsidRPr="001B2BFB">
        <w:rPr>
          <w:sz w:val="22"/>
          <w:szCs w:val="22"/>
        </w:rPr>
        <w:t xml:space="preserve"> = ∑СД</w:t>
      </w:r>
      <w:r w:rsidR="00DD799E" w:rsidRPr="001B2BFB">
        <w:rPr>
          <w:sz w:val="22"/>
          <w:szCs w:val="22"/>
          <w:vertAlign w:val="subscript"/>
        </w:rPr>
        <w:t>ЦП</w:t>
      </w:r>
      <w:r w:rsidR="00DD799E" w:rsidRPr="001B2BFB">
        <w:rPr>
          <w:sz w:val="22"/>
          <w:szCs w:val="22"/>
        </w:rPr>
        <w:t>/</w:t>
      </w:r>
      <w:r w:rsidR="00DD799E" w:rsidRPr="001B2BFB">
        <w:rPr>
          <w:sz w:val="22"/>
          <w:szCs w:val="22"/>
          <w:lang w:val="en-US"/>
        </w:rPr>
        <w:t>N</w:t>
      </w:r>
      <w:r w:rsidR="00DD799E" w:rsidRPr="001B2BFB">
        <w:rPr>
          <w:sz w:val="22"/>
          <w:szCs w:val="22"/>
        </w:rPr>
        <w:t>, где:</w:t>
      </w:r>
    </w:p>
    <w:p w:rsidR="00DD799E" w:rsidRPr="001B2BFB" w:rsidRDefault="00DD799E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  <w:r w:rsidRPr="001B2BFB">
        <w:rPr>
          <w:sz w:val="22"/>
          <w:szCs w:val="22"/>
        </w:rPr>
        <w:t>СД</w:t>
      </w:r>
      <w:r w:rsidRPr="001B2BFB">
        <w:rPr>
          <w:sz w:val="22"/>
          <w:szCs w:val="22"/>
          <w:vertAlign w:val="subscript"/>
        </w:rPr>
        <w:t>Г/П</w:t>
      </w:r>
      <w:r w:rsidRPr="001B2BFB">
        <w:rPr>
          <w:sz w:val="22"/>
          <w:szCs w:val="22"/>
        </w:rPr>
        <w:t xml:space="preserve"> – степень достижения плановых значений целевых показателей (индикаторов);</w:t>
      </w:r>
    </w:p>
    <w:p w:rsidR="00071841" w:rsidRPr="001B2BFB" w:rsidRDefault="00071841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  <w:r w:rsidRPr="001B2BFB">
        <w:rPr>
          <w:sz w:val="22"/>
          <w:szCs w:val="22"/>
        </w:rPr>
        <w:t>СД</w:t>
      </w:r>
      <w:r w:rsidRPr="001B2BFB">
        <w:rPr>
          <w:sz w:val="22"/>
          <w:szCs w:val="22"/>
          <w:vertAlign w:val="subscript"/>
        </w:rPr>
        <w:t>ЦП</w:t>
      </w:r>
      <w:r w:rsidRPr="001B2BFB">
        <w:rPr>
          <w:sz w:val="22"/>
          <w:szCs w:val="22"/>
        </w:rPr>
        <w:t xml:space="preserve"> – степень достижения планового значения целевого показателя (индикатора);</w:t>
      </w:r>
    </w:p>
    <w:p w:rsidR="00071841" w:rsidRPr="001B2BFB" w:rsidRDefault="00071841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  <w:r w:rsidRPr="001B2BFB">
        <w:rPr>
          <w:sz w:val="22"/>
          <w:szCs w:val="22"/>
          <w:lang w:val="en-US"/>
        </w:rPr>
        <w:t>N</w:t>
      </w:r>
      <w:r w:rsidRPr="001B2BFB">
        <w:rPr>
          <w:sz w:val="22"/>
          <w:szCs w:val="22"/>
        </w:rPr>
        <w:t xml:space="preserve"> – число целевых показателей (индикаторов).</w:t>
      </w:r>
    </w:p>
    <w:p w:rsidR="00071841" w:rsidRPr="001B2BFB" w:rsidRDefault="00071841" w:rsidP="004944C8">
      <w:pPr>
        <w:pStyle w:val="Style3"/>
        <w:widowControl/>
        <w:tabs>
          <w:tab w:val="left" w:pos="7699"/>
        </w:tabs>
        <w:rPr>
          <w:sz w:val="22"/>
          <w:szCs w:val="22"/>
        </w:rPr>
      </w:pPr>
    </w:p>
    <w:p w:rsidR="00071841" w:rsidRDefault="00071841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Общее количество</w:t>
      </w:r>
      <w:r w:rsidR="003750F4" w:rsidRPr="001B2BFB">
        <w:rPr>
          <w:sz w:val="22"/>
          <w:szCs w:val="22"/>
        </w:rPr>
        <w:t xml:space="preserve"> учитываемых в расчете</w:t>
      </w:r>
      <w:r w:rsidRPr="001B2BFB">
        <w:rPr>
          <w:sz w:val="22"/>
          <w:szCs w:val="22"/>
        </w:rPr>
        <w:t xml:space="preserve"> целевых показателей государственной программы </w:t>
      </w:r>
      <w:r w:rsidR="004952B5">
        <w:rPr>
          <w:sz w:val="22"/>
          <w:szCs w:val="22"/>
        </w:rPr>
        <w:t>22</w:t>
      </w:r>
      <w:r w:rsidR="00F54E1C" w:rsidRPr="001B2BFB">
        <w:rPr>
          <w:sz w:val="22"/>
          <w:szCs w:val="22"/>
        </w:rPr>
        <w:t xml:space="preserve">. </w:t>
      </w:r>
      <w:r w:rsidRPr="001B2BFB">
        <w:rPr>
          <w:sz w:val="22"/>
          <w:szCs w:val="22"/>
        </w:rPr>
        <w:t>Рассчитанное суммарное значение степеней достижения плановых значений целевых показател</w:t>
      </w:r>
      <w:r w:rsidR="004F236B" w:rsidRPr="001B2BFB">
        <w:rPr>
          <w:sz w:val="22"/>
          <w:szCs w:val="22"/>
        </w:rPr>
        <w:t xml:space="preserve">ей (индикаторов) составляет </w:t>
      </w:r>
      <w:r w:rsidR="00D86C1E">
        <w:rPr>
          <w:sz w:val="22"/>
          <w:szCs w:val="22"/>
        </w:rPr>
        <w:t>2</w:t>
      </w:r>
      <w:r w:rsidR="004952B5">
        <w:rPr>
          <w:sz w:val="22"/>
          <w:szCs w:val="22"/>
        </w:rPr>
        <w:t>0</w:t>
      </w:r>
      <w:r w:rsidR="00D86C1E">
        <w:rPr>
          <w:sz w:val="22"/>
          <w:szCs w:val="22"/>
        </w:rPr>
        <w:t>,</w:t>
      </w:r>
      <w:r w:rsidR="00046F80">
        <w:rPr>
          <w:sz w:val="22"/>
          <w:szCs w:val="22"/>
        </w:rPr>
        <w:t>756</w:t>
      </w:r>
    </w:p>
    <w:p w:rsidR="00604498" w:rsidRPr="001B2BFB" w:rsidRDefault="00604498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071841" w:rsidRPr="001B2BFB" w:rsidRDefault="00F54E1C" w:rsidP="004944C8">
      <w:pPr>
        <w:pStyle w:val="Style3"/>
        <w:widowControl/>
        <w:tabs>
          <w:tab w:val="left" w:pos="7699"/>
        </w:tabs>
        <w:jc w:val="both"/>
        <w:rPr>
          <w:b/>
          <w:sz w:val="22"/>
          <w:szCs w:val="22"/>
        </w:rPr>
      </w:pPr>
      <w:r w:rsidRPr="001B2BFB">
        <w:rPr>
          <w:b/>
          <w:sz w:val="22"/>
          <w:szCs w:val="22"/>
        </w:rPr>
        <w:t xml:space="preserve">Степень достижения плановых значений целевых показателей (индикаторов) составляет </w:t>
      </w:r>
      <w:r w:rsidR="00D86C1E">
        <w:rPr>
          <w:b/>
          <w:sz w:val="22"/>
          <w:szCs w:val="22"/>
        </w:rPr>
        <w:t>0,9</w:t>
      </w:r>
      <w:r w:rsidR="00947FF7">
        <w:rPr>
          <w:b/>
          <w:sz w:val="22"/>
          <w:szCs w:val="22"/>
        </w:rPr>
        <w:t>4</w:t>
      </w:r>
      <w:r w:rsidR="00046F80">
        <w:rPr>
          <w:b/>
          <w:sz w:val="22"/>
          <w:szCs w:val="22"/>
        </w:rPr>
        <w:t>3</w:t>
      </w:r>
    </w:p>
    <w:p w:rsidR="00F54E1C" w:rsidRPr="001B2BFB" w:rsidRDefault="00F54E1C" w:rsidP="004944C8">
      <w:pPr>
        <w:pStyle w:val="Style3"/>
        <w:widowControl/>
        <w:tabs>
          <w:tab w:val="left" w:pos="7699"/>
        </w:tabs>
        <w:jc w:val="both"/>
        <w:rPr>
          <w:b/>
          <w:sz w:val="22"/>
          <w:szCs w:val="22"/>
        </w:rPr>
      </w:pPr>
    </w:p>
    <w:p w:rsidR="00071841" w:rsidRPr="001B2BFB" w:rsidRDefault="00071841" w:rsidP="004944C8">
      <w:pPr>
        <w:pStyle w:val="Style3"/>
        <w:widowControl/>
        <w:tabs>
          <w:tab w:val="left" w:pos="7699"/>
        </w:tabs>
        <w:jc w:val="both"/>
        <w:rPr>
          <w:b/>
          <w:sz w:val="22"/>
          <w:szCs w:val="22"/>
        </w:rPr>
      </w:pPr>
      <w:r w:rsidRPr="001B2BFB">
        <w:rPr>
          <w:b/>
          <w:sz w:val="22"/>
          <w:szCs w:val="22"/>
        </w:rPr>
        <w:t>СД</w:t>
      </w:r>
      <w:r w:rsidRPr="001B2BFB">
        <w:rPr>
          <w:b/>
          <w:sz w:val="22"/>
          <w:szCs w:val="22"/>
          <w:vertAlign w:val="subscript"/>
        </w:rPr>
        <w:t>Г/П</w:t>
      </w:r>
      <w:r w:rsidRPr="001B2BFB">
        <w:rPr>
          <w:b/>
          <w:sz w:val="22"/>
          <w:szCs w:val="22"/>
        </w:rPr>
        <w:t xml:space="preserve"> = ∑СД</w:t>
      </w:r>
      <w:r w:rsidRPr="001B2BFB">
        <w:rPr>
          <w:b/>
          <w:sz w:val="22"/>
          <w:szCs w:val="22"/>
          <w:vertAlign w:val="subscript"/>
        </w:rPr>
        <w:t>ЦП</w:t>
      </w:r>
      <w:r w:rsidRPr="001B2BFB">
        <w:rPr>
          <w:b/>
          <w:sz w:val="22"/>
          <w:szCs w:val="22"/>
        </w:rPr>
        <w:t>/</w:t>
      </w:r>
      <w:r w:rsidRPr="001B2BFB">
        <w:rPr>
          <w:b/>
          <w:sz w:val="22"/>
          <w:szCs w:val="22"/>
          <w:lang w:val="en-US"/>
        </w:rPr>
        <w:t>N</w:t>
      </w:r>
      <w:r w:rsidR="006F51A6" w:rsidRPr="001B2BFB">
        <w:rPr>
          <w:b/>
          <w:sz w:val="22"/>
          <w:szCs w:val="22"/>
        </w:rPr>
        <w:t xml:space="preserve"> = </w:t>
      </w:r>
      <w:r w:rsidR="004952B5">
        <w:rPr>
          <w:b/>
          <w:sz w:val="22"/>
          <w:szCs w:val="22"/>
        </w:rPr>
        <w:t>20,7</w:t>
      </w:r>
      <w:r w:rsidR="00B360FE">
        <w:rPr>
          <w:b/>
          <w:sz w:val="22"/>
          <w:szCs w:val="22"/>
        </w:rPr>
        <w:t>5</w:t>
      </w:r>
      <w:r w:rsidR="004952B5">
        <w:rPr>
          <w:b/>
          <w:sz w:val="22"/>
          <w:szCs w:val="22"/>
        </w:rPr>
        <w:t>6</w:t>
      </w:r>
      <w:r w:rsidR="006D03E6" w:rsidRPr="001B2BFB">
        <w:rPr>
          <w:sz w:val="22"/>
          <w:szCs w:val="22"/>
        </w:rPr>
        <w:t xml:space="preserve"> </w:t>
      </w:r>
      <w:r w:rsidR="00DE1426">
        <w:rPr>
          <w:sz w:val="22"/>
          <w:szCs w:val="22"/>
        </w:rPr>
        <w:t xml:space="preserve"> </w:t>
      </w:r>
      <w:r w:rsidR="006F51A6" w:rsidRPr="001B2BFB">
        <w:rPr>
          <w:b/>
          <w:sz w:val="22"/>
          <w:szCs w:val="22"/>
        </w:rPr>
        <w:t>/</w:t>
      </w:r>
      <w:r w:rsidR="00DE1426">
        <w:rPr>
          <w:b/>
          <w:sz w:val="22"/>
          <w:szCs w:val="22"/>
        </w:rPr>
        <w:t xml:space="preserve">  </w:t>
      </w:r>
      <w:r w:rsidR="006331C3">
        <w:rPr>
          <w:b/>
          <w:sz w:val="22"/>
          <w:szCs w:val="22"/>
        </w:rPr>
        <w:t>2</w:t>
      </w:r>
      <w:r w:rsidR="004952B5">
        <w:rPr>
          <w:b/>
          <w:sz w:val="22"/>
          <w:szCs w:val="22"/>
        </w:rPr>
        <w:t>2</w:t>
      </w:r>
      <w:r w:rsidR="006F51A6" w:rsidRPr="001B2BFB">
        <w:rPr>
          <w:b/>
          <w:sz w:val="22"/>
          <w:szCs w:val="22"/>
        </w:rPr>
        <w:t xml:space="preserve"> = </w:t>
      </w:r>
      <w:r w:rsidR="001F3546" w:rsidRPr="001B2BFB">
        <w:rPr>
          <w:b/>
          <w:sz w:val="22"/>
          <w:szCs w:val="22"/>
        </w:rPr>
        <w:t>0,</w:t>
      </w:r>
      <w:r w:rsidR="00D86C1E">
        <w:rPr>
          <w:b/>
          <w:sz w:val="22"/>
          <w:szCs w:val="22"/>
        </w:rPr>
        <w:t>9</w:t>
      </w:r>
      <w:r w:rsidR="00B360FE">
        <w:rPr>
          <w:b/>
          <w:sz w:val="22"/>
          <w:szCs w:val="22"/>
        </w:rPr>
        <w:t>43</w:t>
      </w:r>
    </w:p>
    <w:p w:rsidR="00217EA5" w:rsidRPr="001B2BFB" w:rsidRDefault="00217EA5" w:rsidP="004944C8">
      <w:pPr>
        <w:pStyle w:val="Style3"/>
        <w:widowControl/>
        <w:tabs>
          <w:tab w:val="left" w:pos="7699"/>
        </w:tabs>
        <w:jc w:val="both"/>
        <w:rPr>
          <w:b/>
          <w:sz w:val="22"/>
          <w:szCs w:val="22"/>
        </w:rPr>
      </w:pPr>
    </w:p>
    <w:p w:rsidR="00071841" w:rsidRPr="001B2BFB" w:rsidRDefault="00F54E1C" w:rsidP="004944C8">
      <w:pPr>
        <w:pStyle w:val="Style3"/>
        <w:widowControl/>
        <w:tabs>
          <w:tab w:val="left" w:pos="7699"/>
        </w:tabs>
        <w:ind w:left="709"/>
        <w:jc w:val="both"/>
        <w:rPr>
          <w:sz w:val="22"/>
          <w:szCs w:val="22"/>
        </w:rPr>
      </w:pPr>
      <w:r w:rsidRPr="001B2BFB">
        <w:rPr>
          <w:sz w:val="22"/>
          <w:szCs w:val="22"/>
        </w:rPr>
        <w:t xml:space="preserve">3) </w:t>
      </w:r>
      <w:r w:rsidR="00E64B43" w:rsidRPr="001B2BFB">
        <w:rPr>
          <w:sz w:val="22"/>
          <w:szCs w:val="22"/>
        </w:rPr>
        <w:t>Оценивается степень реализации мероприятий государственной программы по следующей формуле:</w:t>
      </w:r>
    </w:p>
    <w:p w:rsidR="00E64B43" w:rsidRPr="001B2BFB" w:rsidRDefault="00E64B43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E64B43" w:rsidRPr="001B2BFB" w:rsidRDefault="00E64B43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СР</w:t>
      </w:r>
      <w:r w:rsidRPr="001B2BFB">
        <w:rPr>
          <w:sz w:val="22"/>
          <w:szCs w:val="22"/>
          <w:vertAlign w:val="subscript"/>
        </w:rPr>
        <w:t>М</w:t>
      </w:r>
      <w:r w:rsidRPr="001B2BFB">
        <w:rPr>
          <w:sz w:val="22"/>
          <w:szCs w:val="22"/>
        </w:rPr>
        <w:t xml:space="preserve"> = М</w:t>
      </w:r>
      <w:r w:rsidRPr="001B2BFB">
        <w:rPr>
          <w:sz w:val="22"/>
          <w:szCs w:val="22"/>
          <w:vertAlign w:val="subscript"/>
        </w:rPr>
        <w:t>В</w:t>
      </w:r>
      <w:r w:rsidRPr="001B2BFB">
        <w:rPr>
          <w:sz w:val="22"/>
          <w:szCs w:val="22"/>
        </w:rPr>
        <w:t>/М, где:</w:t>
      </w:r>
    </w:p>
    <w:p w:rsidR="00E64B43" w:rsidRPr="001B2BFB" w:rsidRDefault="00E64B43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СР</w:t>
      </w:r>
      <w:r w:rsidRPr="001B2BFB">
        <w:rPr>
          <w:sz w:val="22"/>
          <w:szCs w:val="22"/>
          <w:vertAlign w:val="subscript"/>
        </w:rPr>
        <w:t>М</w:t>
      </w:r>
      <w:r w:rsidRPr="001B2BFB">
        <w:rPr>
          <w:sz w:val="22"/>
          <w:szCs w:val="22"/>
        </w:rPr>
        <w:t xml:space="preserve"> – степень реализации мероприятий;</w:t>
      </w:r>
    </w:p>
    <w:p w:rsidR="00E64B43" w:rsidRPr="001B2BFB" w:rsidRDefault="00E64B43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М</w:t>
      </w:r>
      <w:r w:rsidRPr="001B2BFB">
        <w:rPr>
          <w:sz w:val="22"/>
          <w:szCs w:val="22"/>
          <w:vertAlign w:val="subscript"/>
        </w:rPr>
        <w:t>В</w:t>
      </w:r>
      <w:r w:rsidRPr="001B2BFB">
        <w:rPr>
          <w:sz w:val="22"/>
          <w:szCs w:val="22"/>
        </w:rPr>
        <w:t xml:space="preserve"> – количество мероприятий, выполненных в отчетном году;</w:t>
      </w:r>
    </w:p>
    <w:p w:rsidR="00E64B43" w:rsidRPr="001B2BFB" w:rsidRDefault="00E64B43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М – общее количество мероприятий, запланированных к реализации в отчетном году.</w:t>
      </w:r>
    </w:p>
    <w:p w:rsidR="00E64B43" w:rsidRPr="001B2BFB" w:rsidRDefault="00E64B43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617D91" w:rsidRPr="001B2BFB" w:rsidRDefault="00E64B43" w:rsidP="00617D9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1B2BFB">
        <w:rPr>
          <w:rFonts w:ascii="Times New Roman" w:hAnsi="Times New Roman" w:cs="Times New Roman"/>
        </w:rPr>
        <w:t xml:space="preserve">Показатель </w:t>
      </w:r>
      <w:r w:rsidRPr="00073836">
        <w:rPr>
          <w:rFonts w:ascii="Times New Roman" w:hAnsi="Times New Roman" w:cs="Times New Roman"/>
          <w:b/>
        </w:rPr>
        <w:t xml:space="preserve">«степень реализации мероприятий» составляет </w:t>
      </w:r>
      <w:r w:rsidR="006331C3" w:rsidRPr="00073836">
        <w:rPr>
          <w:rFonts w:ascii="Times New Roman" w:hAnsi="Times New Roman" w:cs="Times New Roman"/>
          <w:b/>
        </w:rPr>
        <w:t>0,</w:t>
      </w:r>
      <w:r w:rsidR="00073836" w:rsidRPr="00073836">
        <w:rPr>
          <w:rFonts w:ascii="Times New Roman" w:hAnsi="Times New Roman" w:cs="Times New Roman"/>
          <w:b/>
        </w:rPr>
        <w:t>963</w:t>
      </w:r>
      <w:r w:rsidRPr="001B2BFB">
        <w:rPr>
          <w:rFonts w:ascii="Times New Roman" w:hAnsi="Times New Roman" w:cs="Times New Roman"/>
        </w:rPr>
        <w:t xml:space="preserve">. Из </w:t>
      </w:r>
      <w:r w:rsidR="00D86C1E">
        <w:rPr>
          <w:rFonts w:ascii="Times New Roman" w:hAnsi="Times New Roman" w:cs="Times New Roman"/>
        </w:rPr>
        <w:t>2</w:t>
      </w:r>
      <w:r w:rsidR="00073836">
        <w:rPr>
          <w:rFonts w:ascii="Times New Roman" w:hAnsi="Times New Roman" w:cs="Times New Roman"/>
        </w:rPr>
        <w:t>7</w:t>
      </w:r>
      <w:r w:rsidRPr="001B2BFB">
        <w:rPr>
          <w:rFonts w:ascii="Times New Roman" w:hAnsi="Times New Roman" w:cs="Times New Roman"/>
        </w:rPr>
        <w:t xml:space="preserve"> </w:t>
      </w:r>
      <w:r w:rsidR="0051166E" w:rsidRPr="001B2BFB">
        <w:rPr>
          <w:rFonts w:ascii="Times New Roman" w:hAnsi="Times New Roman" w:cs="Times New Roman"/>
        </w:rPr>
        <w:t>основных</w:t>
      </w:r>
      <w:r w:rsidRPr="001B2BFB">
        <w:rPr>
          <w:rFonts w:ascii="Times New Roman" w:hAnsi="Times New Roman" w:cs="Times New Roman"/>
        </w:rPr>
        <w:t xml:space="preserve"> мероприятий</w:t>
      </w:r>
      <w:r w:rsidR="00912AD9" w:rsidRPr="001B2BFB">
        <w:rPr>
          <w:rFonts w:ascii="Times New Roman" w:hAnsi="Times New Roman" w:cs="Times New Roman"/>
        </w:rPr>
        <w:t>, запланированных к реализации в 20</w:t>
      </w:r>
      <w:r w:rsidR="00D86C1E">
        <w:rPr>
          <w:rFonts w:ascii="Times New Roman" w:hAnsi="Times New Roman" w:cs="Times New Roman"/>
        </w:rPr>
        <w:t>21</w:t>
      </w:r>
      <w:r w:rsidR="00912AD9" w:rsidRPr="001B2BFB">
        <w:rPr>
          <w:rFonts w:ascii="Times New Roman" w:hAnsi="Times New Roman" w:cs="Times New Roman"/>
        </w:rPr>
        <w:t xml:space="preserve"> году</w:t>
      </w:r>
      <w:r w:rsidR="00F7444C" w:rsidRPr="001B2BFB">
        <w:rPr>
          <w:rFonts w:ascii="Times New Roman" w:hAnsi="Times New Roman" w:cs="Times New Roman"/>
        </w:rPr>
        <w:t>,</w:t>
      </w:r>
      <w:r w:rsidR="00912AD9" w:rsidRPr="001B2BFB">
        <w:rPr>
          <w:rFonts w:ascii="Times New Roman" w:hAnsi="Times New Roman" w:cs="Times New Roman"/>
        </w:rPr>
        <w:t xml:space="preserve"> </w:t>
      </w:r>
      <w:r w:rsidRPr="001B2BFB">
        <w:rPr>
          <w:rFonts w:ascii="Times New Roman" w:hAnsi="Times New Roman" w:cs="Times New Roman"/>
        </w:rPr>
        <w:t xml:space="preserve">выполнено </w:t>
      </w:r>
      <w:r w:rsidR="00EC041A" w:rsidRPr="001B2BFB">
        <w:rPr>
          <w:rFonts w:ascii="Times New Roman" w:hAnsi="Times New Roman" w:cs="Times New Roman"/>
        </w:rPr>
        <w:t>26</w:t>
      </w:r>
      <w:r w:rsidRPr="001B2BFB">
        <w:rPr>
          <w:rFonts w:ascii="Times New Roman" w:hAnsi="Times New Roman" w:cs="Times New Roman"/>
        </w:rPr>
        <w:t xml:space="preserve"> мероприяти</w:t>
      </w:r>
      <w:r w:rsidR="001747A8" w:rsidRPr="001B2BFB">
        <w:rPr>
          <w:rFonts w:ascii="Times New Roman" w:hAnsi="Times New Roman" w:cs="Times New Roman"/>
        </w:rPr>
        <w:t>я</w:t>
      </w:r>
      <w:r w:rsidR="00073836">
        <w:rPr>
          <w:rFonts w:ascii="Times New Roman" w:hAnsi="Times New Roman" w:cs="Times New Roman"/>
        </w:rPr>
        <w:t xml:space="preserve"> (в расчете не учтено мероприятие 30.2.04 «</w:t>
      </w:r>
      <w:r w:rsidR="00073836" w:rsidRPr="00073836">
        <w:rPr>
          <w:rFonts w:ascii="Times New Roman" w:hAnsi="Times New Roman" w:cs="Times New Roman"/>
        </w:rPr>
        <w:t>Осуществление мер по профилактике безнадзорности и правонарушений несовершеннолетних</w:t>
      </w:r>
      <w:r w:rsidR="00073836">
        <w:rPr>
          <w:rFonts w:ascii="Times New Roman" w:hAnsi="Times New Roman" w:cs="Times New Roman"/>
        </w:rPr>
        <w:t>» Деятельность</w:t>
      </w:r>
      <w:r w:rsidR="00073836" w:rsidRPr="00073836">
        <w:rPr>
          <w:rFonts w:ascii="Times New Roman" w:hAnsi="Times New Roman" w:cs="Times New Roman"/>
        </w:rPr>
        <w:t>, связанн</w:t>
      </w:r>
      <w:r w:rsidR="00073836">
        <w:rPr>
          <w:rFonts w:ascii="Times New Roman" w:hAnsi="Times New Roman" w:cs="Times New Roman"/>
        </w:rPr>
        <w:t>ая</w:t>
      </w:r>
      <w:r w:rsidR="00073836" w:rsidRPr="00073836">
        <w:rPr>
          <w:rFonts w:ascii="Times New Roman" w:hAnsi="Times New Roman" w:cs="Times New Roman"/>
        </w:rPr>
        <w:t xml:space="preserve"> с перевозкой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</w:r>
      <w:r w:rsidR="00073836">
        <w:rPr>
          <w:rFonts w:ascii="Times New Roman" w:hAnsi="Times New Roman" w:cs="Times New Roman"/>
        </w:rPr>
        <w:t xml:space="preserve">, </w:t>
      </w:r>
      <w:r w:rsidR="002D323E" w:rsidRPr="00073836">
        <w:rPr>
          <w:rFonts w:ascii="Times New Roman" w:hAnsi="Times New Roman" w:cs="Times New Roman"/>
        </w:rPr>
        <w:t xml:space="preserve">в 2021 году </w:t>
      </w:r>
      <w:r w:rsidR="00073836">
        <w:rPr>
          <w:rFonts w:ascii="Times New Roman" w:hAnsi="Times New Roman" w:cs="Times New Roman"/>
        </w:rPr>
        <w:t xml:space="preserve">не осуществлялась в связи с отсутствием потребности в </w:t>
      </w:r>
      <w:r w:rsidR="00073836" w:rsidRPr="00073836">
        <w:rPr>
          <w:rFonts w:ascii="Times New Roman" w:hAnsi="Times New Roman" w:cs="Times New Roman"/>
        </w:rPr>
        <w:t>перевозк</w:t>
      </w:r>
      <w:r w:rsidR="00073836">
        <w:rPr>
          <w:rFonts w:ascii="Times New Roman" w:hAnsi="Times New Roman" w:cs="Times New Roman"/>
        </w:rPr>
        <w:t>ах</w:t>
      </w:r>
      <w:r w:rsidR="00073836" w:rsidRPr="00073836">
        <w:rPr>
          <w:rFonts w:ascii="Times New Roman" w:hAnsi="Times New Roman" w:cs="Times New Roman"/>
        </w:rPr>
        <w:t xml:space="preserve"> </w:t>
      </w:r>
      <w:r w:rsidR="00073836">
        <w:rPr>
          <w:rFonts w:ascii="Times New Roman" w:hAnsi="Times New Roman" w:cs="Times New Roman"/>
        </w:rPr>
        <w:t>(носит заявительный принцип)</w:t>
      </w:r>
      <w:r w:rsidRPr="001B2BFB">
        <w:rPr>
          <w:rFonts w:ascii="Times New Roman" w:hAnsi="Times New Roman" w:cs="Times New Roman"/>
        </w:rPr>
        <w:t>.</w:t>
      </w:r>
      <w:r w:rsidR="00617D91" w:rsidRPr="001B2BFB">
        <w:rPr>
          <w:rFonts w:ascii="Times New Roman" w:hAnsi="Times New Roman" w:cs="Times New Roman"/>
        </w:rPr>
        <w:t xml:space="preserve"> </w:t>
      </w:r>
    </w:p>
    <w:p w:rsidR="00E64B43" w:rsidRPr="001B2BFB" w:rsidRDefault="00E64B43" w:rsidP="004944C8">
      <w:pPr>
        <w:pStyle w:val="Style3"/>
        <w:widowControl/>
        <w:tabs>
          <w:tab w:val="left" w:pos="7699"/>
        </w:tabs>
        <w:jc w:val="both"/>
        <w:rPr>
          <w:b/>
          <w:sz w:val="22"/>
          <w:szCs w:val="22"/>
        </w:rPr>
      </w:pPr>
      <w:r w:rsidRPr="001B2BFB">
        <w:rPr>
          <w:b/>
          <w:sz w:val="22"/>
          <w:szCs w:val="22"/>
        </w:rPr>
        <w:t>СР</w:t>
      </w:r>
      <w:r w:rsidRPr="001B2BFB">
        <w:rPr>
          <w:b/>
          <w:sz w:val="22"/>
          <w:szCs w:val="22"/>
          <w:vertAlign w:val="subscript"/>
        </w:rPr>
        <w:t>М</w:t>
      </w:r>
      <w:r w:rsidRPr="001B2BFB">
        <w:rPr>
          <w:b/>
          <w:sz w:val="22"/>
          <w:szCs w:val="22"/>
        </w:rPr>
        <w:t xml:space="preserve"> = М</w:t>
      </w:r>
      <w:r w:rsidRPr="001B2BFB">
        <w:rPr>
          <w:b/>
          <w:sz w:val="22"/>
          <w:szCs w:val="22"/>
          <w:vertAlign w:val="subscript"/>
        </w:rPr>
        <w:t>В</w:t>
      </w:r>
      <w:r w:rsidRPr="001B2BFB">
        <w:rPr>
          <w:b/>
          <w:sz w:val="22"/>
          <w:szCs w:val="22"/>
        </w:rPr>
        <w:t xml:space="preserve">/М = </w:t>
      </w:r>
      <w:r w:rsidR="002D323E">
        <w:rPr>
          <w:b/>
          <w:sz w:val="22"/>
          <w:szCs w:val="22"/>
        </w:rPr>
        <w:t>26/27</w:t>
      </w:r>
      <w:r w:rsidR="006D03E6" w:rsidRPr="001B2BFB">
        <w:rPr>
          <w:b/>
          <w:sz w:val="22"/>
          <w:szCs w:val="22"/>
        </w:rPr>
        <w:t xml:space="preserve"> </w:t>
      </w:r>
      <w:r w:rsidRPr="001B2BFB">
        <w:rPr>
          <w:b/>
          <w:sz w:val="22"/>
          <w:szCs w:val="22"/>
        </w:rPr>
        <w:t xml:space="preserve">= </w:t>
      </w:r>
      <w:r w:rsidR="006331C3">
        <w:rPr>
          <w:b/>
          <w:sz w:val="22"/>
          <w:szCs w:val="22"/>
        </w:rPr>
        <w:t>0,</w:t>
      </w:r>
      <w:r w:rsidR="002D323E">
        <w:rPr>
          <w:b/>
          <w:sz w:val="22"/>
          <w:szCs w:val="22"/>
        </w:rPr>
        <w:t>963</w:t>
      </w:r>
    </w:p>
    <w:p w:rsidR="00E64B43" w:rsidRPr="001B2BFB" w:rsidRDefault="00E64B43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977D03" w:rsidRPr="001B2BFB" w:rsidRDefault="00F54E1C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 xml:space="preserve">4) </w:t>
      </w:r>
      <w:r w:rsidR="00977D03" w:rsidRPr="001B2BFB">
        <w:rPr>
          <w:sz w:val="22"/>
          <w:szCs w:val="22"/>
        </w:rPr>
        <w:t>Оценивается степень соответствия запланированному уровню расходов государственной программы за счет средств бюджета Удмуртской Республики в целом</w:t>
      </w:r>
      <w:r w:rsidR="008D7956" w:rsidRPr="001B2BFB">
        <w:rPr>
          <w:sz w:val="22"/>
          <w:szCs w:val="22"/>
        </w:rPr>
        <w:t>.</w:t>
      </w:r>
      <w:r w:rsidR="00977D03" w:rsidRPr="001B2BFB">
        <w:rPr>
          <w:sz w:val="22"/>
          <w:szCs w:val="22"/>
        </w:rPr>
        <w:t xml:space="preserve"> </w:t>
      </w:r>
    </w:p>
    <w:p w:rsidR="008D7956" w:rsidRPr="001B2BFB" w:rsidRDefault="008D7956" w:rsidP="00494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2BFB">
        <w:rPr>
          <w:rFonts w:ascii="Times New Roman" w:hAnsi="Times New Roman" w:cs="Times New Roman"/>
          <w:bCs/>
        </w:rPr>
        <w:t xml:space="preserve">Поскольку </w:t>
      </w:r>
      <w:r w:rsidRPr="001B2BFB">
        <w:rPr>
          <w:rFonts w:ascii="Times New Roman" w:eastAsia="Times New Roman" w:hAnsi="Times New Roman" w:cs="Times New Roman"/>
        </w:rPr>
        <w:t>фактические расходы на реализацию государственной программы в отчетном году</w:t>
      </w:r>
      <w:r w:rsidR="00E05D1A" w:rsidRPr="001B2BFB">
        <w:rPr>
          <w:rFonts w:ascii="Times New Roman" w:eastAsia="Times New Roman" w:hAnsi="Times New Roman" w:cs="Times New Roman"/>
        </w:rPr>
        <w:t xml:space="preserve"> (</w:t>
      </w:r>
      <w:r w:rsidR="00D86C1E">
        <w:rPr>
          <w:rFonts w:ascii="Times New Roman" w:eastAsia="Times New Roman" w:hAnsi="Times New Roman" w:cs="Times New Roman"/>
        </w:rPr>
        <w:t>16 498 128,3</w:t>
      </w:r>
      <w:r w:rsidR="006331C3">
        <w:rPr>
          <w:rFonts w:ascii="Times New Roman" w:eastAsia="Times New Roman" w:hAnsi="Times New Roman" w:cs="Times New Roman"/>
        </w:rPr>
        <w:t>3</w:t>
      </w:r>
      <w:r w:rsidR="001F3546" w:rsidRPr="001B2BFB">
        <w:rPr>
          <w:rFonts w:ascii="Times New Roman" w:eastAsia="Times New Roman" w:hAnsi="Times New Roman" w:cs="Times New Roman"/>
        </w:rPr>
        <w:t xml:space="preserve"> </w:t>
      </w:r>
      <w:r w:rsidR="001B7A4B" w:rsidRPr="001B2BFB">
        <w:rPr>
          <w:rFonts w:ascii="Times New Roman" w:eastAsia="Times New Roman" w:hAnsi="Times New Roman" w:cs="Times New Roman"/>
        </w:rPr>
        <w:t xml:space="preserve"> </w:t>
      </w:r>
      <w:r w:rsidR="00E05D1A" w:rsidRPr="001B2BFB">
        <w:rPr>
          <w:rFonts w:ascii="Times New Roman" w:eastAsia="Times New Roman" w:hAnsi="Times New Roman" w:cs="Times New Roman"/>
        </w:rPr>
        <w:t>тыс. рублей)</w:t>
      </w:r>
      <w:r w:rsidRPr="001B2BFB">
        <w:rPr>
          <w:rFonts w:ascii="Times New Roman" w:eastAsia="Times New Roman" w:hAnsi="Times New Roman" w:cs="Times New Roman"/>
        </w:rPr>
        <w:t xml:space="preserve"> меньше плановых расходов на реализ</w:t>
      </w:r>
      <w:r w:rsidR="00E05D1A" w:rsidRPr="001B2BFB">
        <w:rPr>
          <w:rFonts w:ascii="Times New Roman" w:eastAsia="Times New Roman" w:hAnsi="Times New Roman" w:cs="Times New Roman"/>
        </w:rPr>
        <w:t xml:space="preserve">ацию государственной программы </w:t>
      </w:r>
      <w:r w:rsidRPr="001B2BFB">
        <w:rPr>
          <w:rFonts w:ascii="Times New Roman" w:eastAsia="Times New Roman" w:hAnsi="Times New Roman" w:cs="Times New Roman"/>
        </w:rPr>
        <w:t>в отчетном году</w:t>
      </w:r>
      <w:r w:rsidR="00E05D1A" w:rsidRPr="001B2BFB">
        <w:rPr>
          <w:rFonts w:ascii="Times New Roman" w:eastAsia="Times New Roman" w:hAnsi="Times New Roman" w:cs="Times New Roman"/>
        </w:rPr>
        <w:t xml:space="preserve"> (</w:t>
      </w:r>
      <w:r w:rsidR="008B2E2F">
        <w:rPr>
          <w:rFonts w:ascii="Times New Roman" w:eastAsia="Times New Roman" w:hAnsi="Times New Roman" w:cs="Times New Roman"/>
        </w:rPr>
        <w:t>16 905 351,2</w:t>
      </w:r>
      <w:r w:rsidR="001F3546" w:rsidRPr="001B2BFB">
        <w:rPr>
          <w:rFonts w:ascii="Times New Roman" w:eastAsia="Times New Roman" w:hAnsi="Times New Roman" w:cs="Times New Roman"/>
        </w:rPr>
        <w:t xml:space="preserve"> </w:t>
      </w:r>
      <w:r w:rsidR="00E05D1A" w:rsidRPr="001B2BFB">
        <w:rPr>
          <w:rFonts w:ascii="Times New Roman" w:eastAsia="Times New Roman" w:hAnsi="Times New Roman" w:cs="Times New Roman"/>
        </w:rPr>
        <w:t>тыс. рублей)</w:t>
      </w:r>
      <w:r w:rsidRPr="001B2BFB">
        <w:rPr>
          <w:rFonts w:ascii="Times New Roman" w:eastAsia="Times New Roman" w:hAnsi="Times New Roman" w:cs="Times New Roman"/>
        </w:rPr>
        <w:t>, степень соответствия запланированному уровню расходов принимается равной единице.</w:t>
      </w:r>
    </w:p>
    <w:p w:rsidR="00617D91" w:rsidRPr="001B2BFB" w:rsidRDefault="00617D91" w:rsidP="00494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7956" w:rsidRPr="001B2BFB" w:rsidRDefault="008D7956" w:rsidP="004944C8">
      <w:pPr>
        <w:pStyle w:val="Style3"/>
        <w:widowControl/>
        <w:tabs>
          <w:tab w:val="left" w:pos="7699"/>
        </w:tabs>
        <w:jc w:val="both"/>
        <w:rPr>
          <w:b/>
          <w:sz w:val="22"/>
          <w:szCs w:val="22"/>
        </w:rPr>
      </w:pPr>
      <w:r w:rsidRPr="001B2BFB">
        <w:rPr>
          <w:b/>
          <w:sz w:val="22"/>
          <w:szCs w:val="22"/>
        </w:rPr>
        <w:lastRenderedPageBreak/>
        <w:t>СС</w:t>
      </w:r>
      <w:r w:rsidRPr="001B2BFB">
        <w:rPr>
          <w:b/>
          <w:sz w:val="22"/>
          <w:szCs w:val="22"/>
          <w:vertAlign w:val="subscript"/>
        </w:rPr>
        <w:t>УР</w:t>
      </w:r>
      <w:r w:rsidRPr="001B2BFB">
        <w:rPr>
          <w:b/>
          <w:sz w:val="22"/>
          <w:szCs w:val="22"/>
        </w:rPr>
        <w:t xml:space="preserve"> = 1,0.</w:t>
      </w:r>
    </w:p>
    <w:p w:rsidR="00226431" w:rsidRPr="001B2BFB" w:rsidRDefault="00226431" w:rsidP="004944C8">
      <w:pPr>
        <w:pStyle w:val="Style3"/>
        <w:widowControl/>
        <w:tabs>
          <w:tab w:val="left" w:pos="7699"/>
        </w:tabs>
        <w:jc w:val="both"/>
        <w:rPr>
          <w:b/>
          <w:sz w:val="22"/>
          <w:szCs w:val="22"/>
        </w:rPr>
      </w:pPr>
      <w:r w:rsidRPr="001B2BFB">
        <w:rPr>
          <w:b/>
          <w:sz w:val="22"/>
          <w:szCs w:val="22"/>
        </w:rPr>
        <w:t xml:space="preserve"> </w:t>
      </w:r>
    </w:p>
    <w:p w:rsidR="00396095" w:rsidRPr="001B2BFB" w:rsidRDefault="00CA19B5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 xml:space="preserve">5) </w:t>
      </w:r>
      <w:r w:rsidR="00A95446" w:rsidRPr="001B2BFB">
        <w:rPr>
          <w:sz w:val="22"/>
          <w:szCs w:val="22"/>
        </w:rPr>
        <w:t>Оценивается эффективность использования средств бюджета Удмуртской Республики при реализации государственной программы по следующей формуле:</w:t>
      </w:r>
    </w:p>
    <w:p w:rsidR="00A95446" w:rsidRPr="001B2BFB" w:rsidRDefault="00A95446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A95446" w:rsidRPr="001B2BFB" w:rsidRDefault="00A95446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Э</w:t>
      </w:r>
      <w:r w:rsidRPr="001B2BFB">
        <w:rPr>
          <w:sz w:val="22"/>
          <w:szCs w:val="22"/>
          <w:vertAlign w:val="subscript"/>
        </w:rPr>
        <w:t>ИС</w:t>
      </w:r>
      <w:r w:rsidRPr="001B2BFB">
        <w:rPr>
          <w:sz w:val="22"/>
          <w:szCs w:val="22"/>
        </w:rPr>
        <w:t xml:space="preserve"> = СР</w:t>
      </w:r>
      <w:r w:rsidRPr="001B2BFB">
        <w:rPr>
          <w:sz w:val="22"/>
          <w:szCs w:val="22"/>
          <w:vertAlign w:val="subscript"/>
        </w:rPr>
        <w:t>М</w:t>
      </w:r>
      <w:r w:rsidRPr="001B2BFB">
        <w:rPr>
          <w:sz w:val="22"/>
          <w:szCs w:val="22"/>
        </w:rPr>
        <w:t>/СС</w:t>
      </w:r>
      <w:r w:rsidRPr="001B2BFB">
        <w:rPr>
          <w:sz w:val="22"/>
          <w:szCs w:val="22"/>
          <w:vertAlign w:val="subscript"/>
        </w:rPr>
        <w:t>УР</w:t>
      </w:r>
      <w:r w:rsidRPr="001B2BFB">
        <w:rPr>
          <w:sz w:val="22"/>
          <w:szCs w:val="22"/>
        </w:rPr>
        <w:t>, где:</w:t>
      </w:r>
    </w:p>
    <w:p w:rsidR="00A95446" w:rsidRPr="001B2BFB" w:rsidRDefault="0091129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Э</w:t>
      </w:r>
      <w:r w:rsidRPr="001B2BFB">
        <w:rPr>
          <w:sz w:val="22"/>
          <w:szCs w:val="22"/>
          <w:vertAlign w:val="subscript"/>
        </w:rPr>
        <w:t>ИС</w:t>
      </w:r>
      <w:r w:rsidRPr="001B2BFB">
        <w:rPr>
          <w:sz w:val="22"/>
          <w:szCs w:val="22"/>
        </w:rPr>
        <w:t xml:space="preserve"> – эффективность использования средств бюджета Удмуртской Республики;</w:t>
      </w:r>
    </w:p>
    <w:p w:rsidR="0091129E" w:rsidRPr="001B2BFB" w:rsidRDefault="0091129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СР</w:t>
      </w:r>
      <w:r w:rsidRPr="001B2BFB">
        <w:rPr>
          <w:sz w:val="22"/>
          <w:szCs w:val="22"/>
          <w:vertAlign w:val="subscript"/>
        </w:rPr>
        <w:t>М</w:t>
      </w:r>
      <w:r w:rsidRPr="001B2BFB">
        <w:rPr>
          <w:sz w:val="22"/>
          <w:szCs w:val="22"/>
        </w:rPr>
        <w:t xml:space="preserve"> – степень реализации мероприятий;</w:t>
      </w:r>
    </w:p>
    <w:p w:rsidR="0091129E" w:rsidRPr="001B2BFB" w:rsidRDefault="0091129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СС</w:t>
      </w:r>
      <w:r w:rsidRPr="001B2BFB">
        <w:rPr>
          <w:sz w:val="22"/>
          <w:szCs w:val="22"/>
          <w:vertAlign w:val="subscript"/>
        </w:rPr>
        <w:t>УР</w:t>
      </w:r>
      <w:r w:rsidRPr="001B2BFB">
        <w:rPr>
          <w:sz w:val="22"/>
          <w:szCs w:val="22"/>
        </w:rPr>
        <w:t xml:space="preserve"> – степень соответствия запланированному уровню расходов;</w:t>
      </w:r>
    </w:p>
    <w:p w:rsidR="0091129E" w:rsidRPr="001B2BFB" w:rsidRDefault="0091129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 xml:space="preserve">Показатель «Эффективность использования средств бюджета Удмуртской Республики» составляет </w:t>
      </w:r>
      <w:r w:rsidR="00610F23" w:rsidRPr="001B2BFB">
        <w:rPr>
          <w:sz w:val="22"/>
          <w:szCs w:val="22"/>
        </w:rPr>
        <w:t>0,</w:t>
      </w:r>
      <w:r w:rsidR="00F403F4">
        <w:rPr>
          <w:sz w:val="22"/>
          <w:szCs w:val="22"/>
        </w:rPr>
        <w:t>963</w:t>
      </w:r>
    </w:p>
    <w:p w:rsidR="0091129E" w:rsidRPr="001B2BFB" w:rsidRDefault="0091129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91129E" w:rsidRPr="001B2BFB" w:rsidRDefault="0091129E" w:rsidP="004944C8">
      <w:pPr>
        <w:pStyle w:val="Style3"/>
        <w:widowControl/>
        <w:tabs>
          <w:tab w:val="left" w:pos="7699"/>
        </w:tabs>
        <w:jc w:val="both"/>
        <w:rPr>
          <w:b/>
          <w:sz w:val="22"/>
          <w:szCs w:val="22"/>
        </w:rPr>
      </w:pPr>
      <w:r w:rsidRPr="001B2BFB">
        <w:rPr>
          <w:b/>
          <w:sz w:val="22"/>
          <w:szCs w:val="22"/>
        </w:rPr>
        <w:t>Э</w:t>
      </w:r>
      <w:r w:rsidRPr="001B2BFB">
        <w:rPr>
          <w:b/>
          <w:sz w:val="22"/>
          <w:szCs w:val="22"/>
          <w:vertAlign w:val="subscript"/>
        </w:rPr>
        <w:t>ИС</w:t>
      </w:r>
      <w:r w:rsidRPr="001B2BFB">
        <w:rPr>
          <w:b/>
          <w:sz w:val="22"/>
          <w:szCs w:val="22"/>
        </w:rPr>
        <w:t xml:space="preserve"> = СР</w:t>
      </w:r>
      <w:r w:rsidRPr="001B2BFB">
        <w:rPr>
          <w:b/>
          <w:sz w:val="22"/>
          <w:szCs w:val="22"/>
          <w:vertAlign w:val="subscript"/>
        </w:rPr>
        <w:t>М</w:t>
      </w:r>
      <w:r w:rsidRPr="001B2BFB">
        <w:rPr>
          <w:b/>
          <w:sz w:val="22"/>
          <w:szCs w:val="22"/>
        </w:rPr>
        <w:t>/СС</w:t>
      </w:r>
      <w:r w:rsidRPr="001B2BFB">
        <w:rPr>
          <w:b/>
          <w:sz w:val="22"/>
          <w:szCs w:val="22"/>
          <w:vertAlign w:val="subscript"/>
        </w:rPr>
        <w:t>УР</w:t>
      </w:r>
      <w:r w:rsidRPr="001B2BFB">
        <w:rPr>
          <w:b/>
          <w:sz w:val="22"/>
          <w:szCs w:val="22"/>
        </w:rPr>
        <w:t xml:space="preserve"> = </w:t>
      </w:r>
      <w:r w:rsidR="008B2E2F">
        <w:rPr>
          <w:b/>
          <w:sz w:val="22"/>
          <w:szCs w:val="22"/>
        </w:rPr>
        <w:t>0,</w:t>
      </w:r>
      <w:r w:rsidR="002D323E">
        <w:rPr>
          <w:b/>
          <w:sz w:val="22"/>
          <w:szCs w:val="22"/>
        </w:rPr>
        <w:t>963</w:t>
      </w:r>
      <w:r w:rsidRPr="001B2BFB">
        <w:rPr>
          <w:b/>
          <w:sz w:val="22"/>
          <w:szCs w:val="22"/>
        </w:rPr>
        <w:t>/</w:t>
      </w:r>
      <w:r w:rsidR="00610F23" w:rsidRPr="001B2BFB">
        <w:rPr>
          <w:b/>
          <w:sz w:val="22"/>
          <w:szCs w:val="22"/>
        </w:rPr>
        <w:t>1,0</w:t>
      </w:r>
      <w:r w:rsidRPr="001B2BFB">
        <w:rPr>
          <w:b/>
          <w:sz w:val="22"/>
          <w:szCs w:val="22"/>
        </w:rPr>
        <w:t xml:space="preserve"> = </w:t>
      </w:r>
      <w:r w:rsidR="006D03E6" w:rsidRPr="001B2BFB">
        <w:rPr>
          <w:b/>
          <w:sz w:val="22"/>
          <w:szCs w:val="22"/>
        </w:rPr>
        <w:t>0,</w:t>
      </w:r>
      <w:r w:rsidR="002D323E">
        <w:rPr>
          <w:b/>
          <w:sz w:val="22"/>
          <w:szCs w:val="22"/>
        </w:rPr>
        <w:t>963</w:t>
      </w:r>
    </w:p>
    <w:p w:rsidR="0091129E" w:rsidRPr="001B2BFB" w:rsidRDefault="0091129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977D03" w:rsidRPr="001B2BFB" w:rsidRDefault="00CA19B5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 xml:space="preserve">6) </w:t>
      </w:r>
      <w:r w:rsidR="0091129E" w:rsidRPr="001B2BFB">
        <w:rPr>
          <w:sz w:val="22"/>
          <w:szCs w:val="22"/>
        </w:rPr>
        <w:t>Оценивается эффективность реализации государственной программы по следующей формуле:</w:t>
      </w:r>
    </w:p>
    <w:p w:rsidR="0091129E" w:rsidRPr="001B2BFB" w:rsidRDefault="0091129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91129E" w:rsidRPr="001B2BFB" w:rsidRDefault="0091129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ЭР</w:t>
      </w:r>
      <w:r w:rsidRPr="001B2BFB">
        <w:rPr>
          <w:sz w:val="22"/>
          <w:szCs w:val="22"/>
          <w:vertAlign w:val="subscript"/>
        </w:rPr>
        <w:t>Г/П</w:t>
      </w:r>
      <w:r w:rsidRPr="001B2BFB">
        <w:rPr>
          <w:sz w:val="22"/>
          <w:szCs w:val="22"/>
        </w:rPr>
        <w:t xml:space="preserve"> = СД</w:t>
      </w:r>
      <w:r w:rsidRPr="001B2BFB">
        <w:rPr>
          <w:sz w:val="22"/>
          <w:szCs w:val="22"/>
          <w:vertAlign w:val="subscript"/>
        </w:rPr>
        <w:t>Г/П</w:t>
      </w:r>
      <w:r w:rsidRPr="001B2BFB">
        <w:rPr>
          <w:sz w:val="22"/>
          <w:szCs w:val="22"/>
        </w:rPr>
        <w:t>×Э</w:t>
      </w:r>
      <w:r w:rsidRPr="001B2BFB">
        <w:rPr>
          <w:sz w:val="22"/>
          <w:szCs w:val="22"/>
          <w:vertAlign w:val="subscript"/>
        </w:rPr>
        <w:t>ИС</w:t>
      </w:r>
      <w:r w:rsidRPr="001B2BFB">
        <w:rPr>
          <w:sz w:val="22"/>
          <w:szCs w:val="22"/>
        </w:rPr>
        <w:t>, где:</w:t>
      </w:r>
    </w:p>
    <w:p w:rsidR="0091129E" w:rsidRPr="001B2BFB" w:rsidRDefault="001E70D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ЭР</w:t>
      </w:r>
      <w:r w:rsidRPr="001B2BFB">
        <w:rPr>
          <w:sz w:val="22"/>
          <w:szCs w:val="22"/>
          <w:vertAlign w:val="subscript"/>
        </w:rPr>
        <w:t>Г/П</w:t>
      </w:r>
      <w:r w:rsidRPr="001B2BFB">
        <w:rPr>
          <w:sz w:val="22"/>
          <w:szCs w:val="22"/>
        </w:rPr>
        <w:t xml:space="preserve"> – эффективность реализации государственной программы (отдельной подпрограммы);</w:t>
      </w:r>
    </w:p>
    <w:p w:rsidR="001E70DE" w:rsidRPr="001B2BFB" w:rsidRDefault="001E70D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СД</w:t>
      </w:r>
      <w:r w:rsidRPr="001B2BFB">
        <w:rPr>
          <w:sz w:val="22"/>
          <w:szCs w:val="22"/>
          <w:vertAlign w:val="subscript"/>
        </w:rPr>
        <w:t>Г/П</w:t>
      </w:r>
      <w:r w:rsidRPr="001B2BFB">
        <w:rPr>
          <w:sz w:val="22"/>
          <w:szCs w:val="22"/>
        </w:rPr>
        <w:t xml:space="preserve"> – степень достижения плановых значений целевых показателей (индикаторов);</w:t>
      </w:r>
    </w:p>
    <w:p w:rsidR="001E70DE" w:rsidRPr="001B2BFB" w:rsidRDefault="001E70D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  <w:r w:rsidRPr="001B2BFB">
        <w:rPr>
          <w:sz w:val="22"/>
          <w:szCs w:val="22"/>
        </w:rPr>
        <w:t>Э</w:t>
      </w:r>
      <w:r w:rsidRPr="001B2BFB">
        <w:rPr>
          <w:sz w:val="22"/>
          <w:szCs w:val="22"/>
          <w:vertAlign w:val="subscript"/>
        </w:rPr>
        <w:t>ИС</w:t>
      </w:r>
      <w:r w:rsidRPr="001B2BFB">
        <w:rPr>
          <w:sz w:val="22"/>
          <w:szCs w:val="22"/>
        </w:rPr>
        <w:t xml:space="preserve"> – эффективность использования средств бюджета Удмуртской Республики.</w:t>
      </w:r>
    </w:p>
    <w:p w:rsidR="001E70DE" w:rsidRPr="001B2BFB" w:rsidRDefault="001E70D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1B7A4B" w:rsidRPr="001B2BFB" w:rsidRDefault="001E70DE" w:rsidP="004944C8">
      <w:pPr>
        <w:pStyle w:val="Style3"/>
        <w:widowControl/>
        <w:tabs>
          <w:tab w:val="left" w:pos="7699"/>
        </w:tabs>
        <w:jc w:val="both"/>
        <w:rPr>
          <w:b/>
          <w:sz w:val="22"/>
          <w:szCs w:val="22"/>
        </w:rPr>
      </w:pPr>
      <w:r w:rsidRPr="001B2BFB">
        <w:rPr>
          <w:b/>
          <w:sz w:val="22"/>
          <w:szCs w:val="22"/>
        </w:rPr>
        <w:t>ЭР</w:t>
      </w:r>
      <w:r w:rsidRPr="001B2BFB">
        <w:rPr>
          <w:b/>
          <w:sz w:val="22"/>
          <w:szCs w:val="22"/>
          <w:vertAlign w:val="subscript"/>
        </w:rPr>
        <w:t>Г/П</w:t>
      </w:r>
      <w:r w:rsidRPr="001B2BFB">
        <w:rPr>
          <w:b/>
          <w:sz w:val="22"/>
          <w:szCs w:val="22"/>
        </w:rPr>
        <w:t xml:space="preserve"> = СД</w:t>
      </w:r>
      <w:r w:rsidRPr="001B2BFB">
        <w:rPr>
          <w:b/>
          <w:sz w:val="22"/>
          <w:szCs w:val="22"/>
          <w:vertAlign w:val="subscript"/>
        </w:rPr>
        <w:t>Г/П</w:t>
      </w:r>
      <w:r w:rsidRPr="001B2BFB">
        <w:rPr>
          <w:b/>
          <w:sz w:val="22"/>
          <w:szCs w:val="22"/>
        </w:rPr>
        <w:t>×Э</w:t>
      </w:r>
      <w:r w:rsidRPr="001B2BFB">
        <w:rPr>
          <w:b/>
          <w:sz w:val="22"/>
          <w:szCs w:val="22"/>
          <w:vertAlign w:val="subscript"/>
        </w:rPr>
        <w:t>ИС</w:t>
      </w:r>
      <w:r w:rsidRPr="001B2BFB">
        <w:rPr>
          <w:b/>
          <w:sz w:val="22"/>
          <w:szCs w:val="22"/>
        </w:rPr>
        <w:t xml:space="preserve"> = </w:t>
      </w:r>
      <w:r w:rsidR="00550A33" w:rsidRPr="001B2BFB">
        <w:rPr>
          <w:b/>
          <w:sz w:val="22"/>
          <w:szCs w:val="22"/>
        </w:rPr>
        <w:t>0,</w:t>
      </w:r>
      <w:r w:rsidR="00FE2A80" w:rsidRPr="001B2BFB">
        <w:rPr>
          <w:b/>
          <w:sz w:val="22"/>
          <w:szCs w:val="22"/>
        </w:rPr>
        <w:t>9</w:t>
      </w:r>
      <w:bookmarkStart w:id="0" w:name="_GoBack"/>
      <w:bookmarkEnd w:id="0"/>
      <w:r w:rsidR="00947FF7">
        <w:rPr>
          <w:b/>
          <w:sz w:val="22"/>
          <w:szCs w:val="22"/>
        </w:rPr>
        <w:t>4</w:t>
      </w:r>
      <w:r w:rsidR="00B360FE">
        <w:rPr>
          <w:b/>
          <w:sz w:val="22"/>
          <w:szCs w:val="22"/>
        </w:rPr>
        <w:t>3</w:t>
      </w:r>
      <w:r w:rsidR="00A20F8F" w:rsidRPr="001B2BFB">
        <w:rPr>
          <w:b/>
          <w:sz w:val="22"/>
          <w:szCs w:val="22"/>
        </w:rPr>
        <w:t>*</w:t>
      </w:r>
      <w:r w:rsidR="006D03E6" w:rsidRPr="001B2BFB">
        <w:rPr>
          <w:b/>
          <w:sz w:val="22"/>
          <w:szCs w:val="22"/>
        </w:rPr>
        <w:t>0,</w:t>
      </w:r>
      <w:r w:rsidR="002D323E">
        <w:rPr>
          <w:b/>
          <w:sz w:val="22"/>
          <w:szCs w:val="22"/>
        </w:rPr>
        <w:t>963</w:t>
      </w:r>
      <w:r w:rsidRPr="001B2BFB">
        <w:rPr>
          <w:b/>
          <w:sz w:val="22"/>
          <w:szCs w:val="22"/>
        </w:rPr>
        <w:t xml:space="preserve">= </w:t>
      </w:r>
      <w:r w:rsidR="006331C3">
        <w:rPr>
          <w:b/>
          <w:sz w:val="22"/>
          <w:szCs w:val="22"/>
        </w:rPr>
        <w:t>0,</w:t>
      </w:r>
      <w:r w:rsidR="00B360FE">
        <w:rPr>
          <w:b/>
          <w:sz w:val="22"/>
          <w:szCs w:val="22"/>
        </w:rPr>
        <w:t>908</w:t>
      </w:r>
    </w:p>
    <w:p w:rsidR="00684258" w:rsidRPr="001B2BFB" w:rsidRDefault="00684258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6331C3" w:rsidRDefault="006331C3" w:rsidP="007544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1C3">
        <w:rPr>
          <w:rFonts w:ascii="Times New Roman" w:hAnsi="Times New Roman" w:cs="Times New Roman"/>
          <w:b/>
        </w:rPr>
        <w:t xml:space="preserve">Вывод: Эффективность реализации государственной программы признается </w:t>
      </w:r>
      <w:r w:rsidR="002D323E">
        <w:rPr>
          <w:rFonts w:ascii="Times New Roman" w:hAnsi="Times New Roman" w:cs="Times New Roman"/>
          <w:b/>
        </w:rPr>
        <w:t>высокой</w:t>
      </w:r>
      <w:r>
        <w:rPr>
          <w:rFonts w:ascii="Times New Roman" w:hAnsi="Times New Roman" w:cs="Times New Roman"/>
          <w:b/>
        </w:rPr>
        <w:t>,</w:t>
      </w:r>
      <w:r w:rsidRPr="006331C3">
        <w:rPr>
          <w:rFonts w:ascii="Times New Roman" w:hAnsi="Times New Roman" w:cs="Times New Roman"/>
          <w:b/>
        </w:rPr>
        <w:t xml:space="preserve"> так как значение ЭР</w:t>
      </w:r>
      <w:r w:rsidRPr="006331C3">
        <w:rPr>
          <w:rFonts w:ascii="Times New Roman" w:hAnsi="Times New Roman" w:cs="Times New Roman"/>
          <w:b/>
          <w:vertAlign w:val="subscript"/>
        </w:rPr>
        <w:t>г/п</w:t>
      </w:r>
      <w:r w:rsidRPr="006331C3">
        <w:rPr>
          <w:rFonts w:ascii="Times New Roman" w:hAnsi="Times New Roman" w:cs="Times New Roman"/>
          <w:b/>
        </w:rPr>
        <w:t xml:space="preserve"> составляет не менее 0,</w:t>
      </w:r>
      <w:r w:rsidR="002D323E">
        <w:rPr>
          <w:rFonts w:ascii="Times New Roman" w:hAnsi="Times New Roman" w:cs="Times New Roman"/>
          <w:b/>
        </w:rPr>
        <w:t>9</w:t>
      </w:r>
      <w:r w:rsidRPr="006331C3">
        <w:rPr>
          <w:rFonts w:ascii="Times New Roman" w:hAnsi="Times New Roman" w:cs="Times New Roman"/>
          <w:b/>
        </w:rPr>
        <w:t>.</w:t>
      </w:r>
    </w:p>
    <w:p w:rsidR="0075442E" w:rsidRDefault="0075442E" w:rsidP="0075442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5442E" w:rsidRDefault="0075442E" w:rsidP="008B2E2F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1"/>
        </w:rPr>
      </w:pPr>
    </w:p>
    <w:p w:rsidR="0075442E" w:rsidRDefault="0075442E" w:rsidP="008B2E2F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1"/>
        </w:rPr>
      </w:pPr>
    </w:p>
    <w:p w:rsidR="006D03E6" w:rsidRDefault="006D03E6" w:rsidP="008B2E2F">
      <w:pPr>
        <w:spacing w:after="0" w:line="240" w:lineRule="auto"/>
      </w:pPr>
      <w:r w:rsidRPr="001B2BFB">
        <w:rPr>
          <w:rFonts w:ascii="Times New Roman" w:hAnsi="Times New Roman" w:cs="Times New Roman"/>
          <w:color w:val="222222"/>
          <w:sz w:val="24"/>
          <w:szCs w:val="21"/>
        </w:rPr>
        <w:t xml:space="preserve">Министр </w:t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 xml:space="preserve"> </w:t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</w:r>
      <w:r w:rsidR="008B2E2F">
        <w:rPr>
          <w:rFonts w:ascii="Times New Roman" w:hAnsi="Times New Roman" w:cs="Times New Roman"/>
          <w:color w:val="222222"/>
          <w:sz w:val="24"/>
          <w:szCs w:val="21"/>
        </w:rPr>
        <w:tab/>
        <w:t>О.В. Лубнина</w:t>
      </w:r>
    </w:p>
    <w:p w:rsidR="00B5756E" w:rsidRDefault="00B5756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B1414B" w:rsidRDefault="00B1414B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B5756E" w:rsidRDefault="00B5756E" w:rsidP="004944C8">
      <w:pPr>
        <w:pStyle w:val="Style3"/>
        <w:widowControl/>
        <w:tabs>
          <w:tab w:val="left" w:pos="7699"/>
        </w:tabs>
        <w:jc w:val="both"/>
        <w:rPr>
          <w:sz w:val="22"/>
          <w:szCs w:val="22"/>
        </w:rPr>
      </w:pPr>
    </w:p>
    <w:p w:rsidR="00B5756E" w:rsidRPr="00B5756E" w:rsidRDefault="00B5756E" w:rsidP="00FE2A80">
      <w:pPr>
        <w:pStyle w:val="Style3"/>
        <w:widowControl/>
        <w:tabs>
          <w:tab w:val="left" w:pos="7699"/>
        </w:tabs>
        <w:jc w:val="both"/>
        <w:rPr>
          <w:sz w:val="27"/>
          <w:szCs w:val="27"/>
        </w:rPr>
      </w:pPr>
    </w:p>
    <w:sectPr w:rsidR="00B5756E" w:rsidRPr="00B5756E" w:rsidSect="0075442E">
      <w:headerReference w:type="default" r:id="rId8"/>
      <w:footerReference w:type="default" r:id="rId9"/>
      <w:footerReference w:type="first" r:id="rId10"/>
      <w:pgSz w:w="16838" w:h="11905" w:orient="landscape" w:code="9"/>
      <w:pgMar w:top="567" w:right="567" w:bottom="567" w:left="567" w:header="284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54" w:rsidRDefault="00C82E54">
      <w:pPr>
        <w:spacing w:after="0" w:line="240" w:lineRule="auto"/>
      </w:pPr>
      <w:r>
        <w:separator/>
      </w:r>
    </w:p>
  </w:endnote>
  <w:endnote w:type="continuationSeparator" w:id="0">
    <w:p w:rsidR="00C82E54" w:rsidRDefault="00C8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DF" w:rsidRDefault="00470FDF">
    <w:pPr>
      <w:pStyle w:val="ad"/>
      <w:jc w:val="center"/>
    </w:pPr>
  </w:p>
  <w:p w:rsidR="00470FDF" w:rsidRDefault="00470FD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DF" w:rsidRPr="00A6314B" w:rsidRDefault="00470FDF">
    <w:pPr>
      <w:pStyle w:val="ad"/>
      <w:jc w:val="center"/>
      <w:rPr>
        <w:rFonts w:ascii="Times New Roman" w:hAnsi="Times New Roman"/>
        <w:sz w:val="18"/>
        <w:szCs w:val="18"/>
      </w:rPr>
    </w:pPr>
  </w:p>
  <w:p w:rsidR="00470FDF" w:rsidRDefault="00470FD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54" w:rsidRDefault="00C82E54">
      <w:pPr>
        <w:spacing w:after="0" w:line="240" w:lineRule="auto"/>
      </w:pPr>
      <w:r>
        <w:separator/>
      </w:r>
    </w:p>
  </w:footnote>
  <w:footnote w:type="continuationSeparator" w:id="0">
    <w:p w:rsidR="00C82E54" w:rsidRDefault="00C8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1F" w:rsidRDefault="002E591F">
    <w:pPr>
      <w:pStyle w:val="ab"/>
      <w:jc w:val="center"/>
    </w:pPr>
  </w:p>
  <w:p w:rsidR="002E591F" w:rsidRDefault="002E591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90D7D"/>
    <w:multiLevelType w:val="hybridMultilevel"/>
    <w:tmpl w:val="16227AAE"/>
    <w:lvl w:ilvl="0" w:tplc="7D746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E1C43"/>
    <w:multiLevelType w:val="hybridMultilevel"/>
    <w:tmpl w:val="7F30D3A4"/>
    <w:lvl w:ilvl="0" w:tplc="E304B7D2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E769A8"/>
    <w:multiLevelType w:val="hybridMultilevel"/>
    <w:tmpl w:val="CBF2A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0A50"/>
    <w:rsid w:val="00004789"/>
    <w:rsid w:val="00006BA9"/>
    <w:rsid w:val="00012F04"/>
    <w:rsid w:val="000223F4"/>
    <w:rsid w:val="000231F9"/>
    <w:rsid w:val="000238BD"/>
    <w:rsid w:val="00025FFE"/>
    <w:rsid w:val="00026F34"/>
    <w:rsid w:val="000363F5"/>
    <w:rsid w:val="0003723B"/>
    <w:rsid w:val="0004073C"/>
    <w:rsid w:val="000451A2"/>
    <w:rsid w:val="00046F80"/>
    <w:rsid w:val="00051764"/>
    <w:rsid w:val="0006442C"/>
    <w:rsid w:val="00070118"/>
    <w:rsid w:val="000709D0"/>
    <w:rsid w:val="00071841"/>
    <w:rsid w:val="000719AE"/>
    <w:rsid w:val="00073620"/>
    <w:rsid w:val="00073836"/>
    <w:rsid w:val="000812C4"/>
    <w:rsid w:val="00083AAB"/>
    <w:rsid w:val="000841D8"/>
    <w:rsid w:val="00095771"/>
    <w:rsid w:val="00095DBA"/>
    <w:rsid w:val="000A13F7"/>
    <w:rsid w:val="000A15AF"/>
    <w:rsid w:val="000A2E2E"/>
    <w:rsid w:val="000A554A"/>
    <w:rsid w:val="000A6466"/>
    <w:rsid w:val="000B1791"/>
    <w:rsid w:val="000B1B9E"/>
    <w:rsid w:val="000C7137"/>
    <w:rsid w:val="000D3625"/>
    <w:rsid w:val="000D4AB8"/>
    <w:rsid w:val="000D632A"/>
    <w:rsid w:val="000D6D4A"/>
    <w:rsid w:val="000E72B5"/>
    <w:rsid w:val="000F00CB"/>
    <w:rsid w:val="000F3AA6"/>
    <w:rsid w:val="00102CA8"/>
    <w:rsid w:val="001031A5"/>
    <w:rsid w:val="00111FA8"/>
    <w:rsid w:val="00113440"/>
    <w:rsid w:val="0011390F"/>
    <w:rsid w:val="001200A7"/>
    <w:rsid w:val="00121F6C"/>
    <w:rsid w:val="00122E36"/>
    <w:rsid w:val="001268FA"/>
    <w:rsid w:val="00131CE5"/>
    <w:rsid w:val="00137EE5"/>
    <w:rsid w:val="00142566"/>
    <w:rsid w:val="001434E0"/>
    <w:rsid w:val="0016194C"/>
    <w:rsid w:val="00166B85"/>
    <w:rsid w:val="001747A8"/>
    <w:rsid w:val="00183ABF"/>
    <w:rsid w:val="00185298"/>
    <w:rsid w:val="0018652A"/>
    <w:rsid w:val="00192547"/>
    <w:rsid w:val="001A0A49"/>
    <w:rsid w:val="001A20A5"/>
    <w:rsid w:val="001A776E"/>
    <w:rsid w:val="001B2545"/>
    <w:rsid w:val="001B2BFB"/>
    <w:rsid w:val="001B35A8"/>
    <w:rsid w:val="001B5382"/>
    <w:rsid w:val="001B6960"/>
    <w:rsid w:val="001B6F41"/>
    <w:rsid w:val="001B7A4B"/>
    <w:rsid w:val="001C3F93"/>
    <w:rsid w:val="001C4A52"/>
    <w:rsid w:val="001C6D86"/>
    <w:rsid w:val="001D4267"/>
    <w:rsid w:val="001E0E3B"/>
    <w:rsid w:val="001E3DF0"/>
    <w:rsid w:val="001E3EAD"/>
    <w:rsid w:val="001E70DE"/>
    <w:rsid w:val="001F3546"/>
    <w:rsid w:val="001F4BB8"/>
    <w:rsid w:val="00201E0E"/>
    <w:rsid w:val="00202286"/>
    <w:rsid w:val="00203900"/>
    <w:rsid w:val="00210751"/>
    <w:rsid w:val="00217EA5"/>
    <w:rsid w:val="002238DB"/>
    <w:rsid w:val="00224430"/>
    <w:rsid w:val="00225716"/>
    <w:rsid w:val="00225BF2"/>
    <w:rsid w:val="0022633E"/>
    <w:rsid w:val="00226431"/>
    <w:rsid w:val="00230BE1"/>
    <w:rsid w:val="0023109B"/>
    <w:rsid w:val="00232305"/>
    <w:rsid w:val="0023406F"/>
    <w:rsid w:val="00235862"/>
    <w:rsid w:val="002411F8"/>
    <w:rsid w:val="00246E41"/>
    <w:rsid w:val="00247389"/>
    <w:rsid w:val="00247C4A"/>
    <w:rsid w:val="00251592"/>
    <w:rsid w:val="00251C4C"/>
    <w:rsid w:val="00256A61"/>
    <w:rsid w:val="00257AAF"/>
    <w:rsid w:val="002604F9"/>
    <w:rsid w:val="002619A2"/>
    <w:rsid w:val="002628D6"/>
    <w:rsid w:val="00264349"/>
    <w:rsid w:val="002649FD"/>
    <w:rsid w:val="00265396"/>
    <w:rsid w:val="00267AC5"/>
    <w:rsid w:val="00270CEB"/>
    <w:rsid w:val="00271F32"/>
    <w:rsid w:val="00273B75"/>
    <w:rsid w:val="00284524"/>
    <w:rsid w:val="00284CF8"/>
    <w:rsid w:val="002871BC"/>
    <w:rsid w:val="00294DE0"/>
    <w:rsid w:val="002959E9"/>
    <w:rsid w:val="00295B7F"/>
    <w:rsid w:val="002A45DD"/>
    <w:rsid w:val="002B039F"/>
    <w:rsid w:val="002B7712"/>
    <w:rsid w:val="002C0966"/>
    <w:rsid w:val="002C36A1"/>
    <w:rsid w:val="002C5F8A"/>
    <w:rsid w:val="002C7666"/>
    <w:rsid w:val="002D2F30"/>
    <w:rsid w:val="002D323E"/>
    <w:rsid w:val="002D68E3"/>
    <w:rsid w:val="002E591F"/>
    <w:rsid w:val="002F489A"/>
    <w:rsid w:val="002F7AFA"/>
    <w:rsid w:val="00312A01"/>
    <w:rsid w:val="003213A1"/>
    <w:rsid w:val="00322464"/>
    <w:rsid w:val="003315EB"/>
    <w:rsid w:val="003316AA"/>
    <w:rsid w:val="0033417B"/>
    <w:rsid w:val="00336F58"/>
    <w:rsid w:val="00341834"/>
    <w:rsid w:val="00342250"/>
    <w:rsid w:val="00343E0F"/>
    <w:rsid w:val="00346FCA"/>
    <w:rsid w:val="00350544"/>
    <w:rsid w:val="00351F6F"/>
    <w:rsid w:val="00353E27"/>
    <w:rsid w:val="003569D5"/>
    <w:rsid w:val="003570D2"/>
    <w:rsid w:val="00357949"/>
    <w:rsid w:val="003659A6"/>
    <w:rsid w:val="003750F4"/>
    <w:rsid w:val="003831FE"/>
    <w:rsid w:val="00385122"/>
    <w:rsid w:val="00385A32"/>
    <w:rsid w:val="0038663F"/>
    <w:rsid w:val="00390131"/>
    <w:rsid w:val="00391A11"/>
    <w:rsid w:val="00393E3D"/>
    <w:rsid w:val="00395B4D"/>
    <w:rsid w:val="00396095"/>
    <w:rsid w:val="003A2A3A"/>
    <w:rsid w:val="003A3DE4"/>
    <w:rsid w:val="003A4517"/>
    <w:rsid w:val="003C27C1"/>
    <w:rsid w:val="003C7B67"/>
    <w:rsid w:val="003D6B3E"/>
    <w:rsid w:val="003D76C0"/>
    <w:rsid w:val="003E1440"/>
    <w:rsid w:val="003E1D98"/>
    <w:rsid w:val="003E2A3C"/>
    <w:rsid w:val="003F1C37"/>
    <w:rsid w:val="003F2C79"/>
    <w:rsid w:val="003F51B1"/>
    <w:rsid w:val="00414039"/>
    <w:rsid w:val="004257A0"/>
    <w:rsid w:val="004259EC"/>
    <w:rsid w:val="00427B07"/>
    <w:rsid w:val="004336A5"/>
    <w:rsid w:val="00437E07"/>
    <w:rsid w:val="0044127E"/>
    <w:rsid w:val="0045094A"/>
    <w:rsid w:val="004538D2"/>
    <w:rsid w:val="004566CC"/>
    <w:rsid w:val="00460776"/>
    <w:rsid w:val="004607B7"/>
    <w:rsid w:val="00461F9F"/>
    <w:rsid w:val="004676FE"/>
    <w:rsid w:val="0047046F"/>
    <w:rsid w:val="00470FDF"/>
    <w:rsid w:val="004755F8"/>
    <w:rsid w:val="00476EA8"/>
    <w:rsid w:val="0048466B"/>
    <w:rsid w:val="00490001"/>
    <w:rsid w:val="00493A22"/>
    <w:rsid w:val="004944C8"/>
    <w:rsid w:val="004952B5"/>
    <w:rsid w:val="00495E43"/>
    <w:rsid w:val="004975F6"/>
    <w:rsid w:val="004A4D3B"/>
    <w:rsid w:val="004A52F6"/>
    <w:rsid w:val="004B0938"/>
    <w:rsid w:val="004B1907"/>
    <w:rsid w:val="004C39D4"/>
    <w:rsid w:val="004D4AEA"/>
    <w:rsid w:val="004D5E50"/>
    <w:rsid w:val="004D7085"/>
    <w:rsid w:val="004E1301"/>
    <w:rsid w:val="004E3521"/>
    <w:rsid w:val="004E37C9"/>
    <w:rsid w:val="004E3CEF"/>
    <w:rsid w:val="004E5AA0"/>
    <w:rsid w:val="004E65B6"/>
    <w:rsid w:val="004F236B"/>
    <w:rsid w:val="004F2A26"/>
    <w:rsid w:val="004F4200"/>
    <w:rsid w:val="004F49D1"/>
    <w:rsid w:val="004F49D5"/>
    <w:rsid w:val="004F5630"/>
    <w:rsid w:val="004F5D7D"/>
    <w:rsid w:val="005056D1"/>
    <w:rsid w:val="00506B4C"/>
    <w:rsid w:val="0050707D"/>
    <w:rsid w:val="00511356"/>
    <w:rsid w:val="0051166E"/>
    <w:rsid w:val="005146D6"/>
    <w:rsid w:val="0051476B"/>
    <w:rsid w:val="00516683"/>
    <w:rsid w:val="00517A8E"/>
    <w:rsid w:val="00522F6B"/>
    <w:rsid w:val="00523AC0"/>
    <w:rsid w:val="00524391"/>
    <w:rsid w:val="00527B47"/>
    <w:rsid w:val="005325F4"/>
    <w:rsid w:val="00536ABC"/>
    <w:rsid w:val="00550A33"/>
    <w:rsid w:val="005544A5"/>
    <w:rsid w:val="005568F7"/>
    <w:rsid w:val="00563ABE"/>
    <w:rsid w:val="00564C3A"/>
    <w:rsid w:val="00570B1F"/>
    <w:rsid w:val="005750BC"/>
    <w:rsid w:val="005766F0"/>
    <w:rsid w:val="005816E2"/>
    <w:rsid w:val="00581787"/>
    <w:rsid w:val="005853A7"/>
    <w:rsid w:val="005861A0"/>
    <w:rsid w:val="00587425"/>
    <w:rsid w:val="005938ED"/>
    <w:rsid w:val="00593C0E"/>
    <w:rsid w:val="005A11F4"/>
    <w:rsid w:val="005A31A2"/>
    <w:rsid w:val="005A3CF1"/>
    <w:rsid w:val="005A3F41"/>
    <w:rsid w:val="005A52FD"/>
    <w:rsid w:val="005A5A7B"/>
    <w:rsid w:val="005A7B44"/>
    <w:rsid w:val="005B1070"/>
    <w:rsid w:val="005B76A7"/>
    <w:rsid w:val="005C006B"/>
    <w:rsid w:val="005C43D1"/>
    <w:rsid w:val="005D27B1"/>
    <w:rsid w:val="005D2B56"/>
    <w:rsid w:val="005D3D27"/>
    <w:rsid w:val="005D564A"/>
    <w:rsid w:val="005D5D44"/>
    <w:rsid w:val="005D6D33"/>
    <w:rsid w:val="005D7D30"/>
    <w:rsid w:val="005E01D8"/>
    <w:rsid w:val="005E0FDD"/>
    <w:rsid w:val="005E2C37"/>
    <w:rsid w:val="005E4939"/>
    <w:rsid w:val="005F184B"/>
    <w:rsid w:val="005F44BE"/>
    <w:rsid w:val="005F7DCC"/>
    <w:rsid w:val="005F7F3E"/>
    <w:rsid w:val="00604498"/>
    <w:rsid w:val="00610F23"/>
    <w:rsid w:val="0061141F"/>
    <w:rsid w:val="00613C44"/>
    <w:rsid w:val="00615183"/>
    <w:rsid w:val="00617D91"/>
    <w:rsid w:val="006246D8"/>
    <w:rsid w:val="00625566"/>
    <w:rsid w:val="00625FEE"/>
    <w:rsid w:val="00626123"/>
    <w:rsid w:val="00626A03"/>
    <w:rsid w:val="006301F0"/>
    <w:rsid w:val="00630D23"/>
    <w:rsid w:val="0063189B"/>
    <w:rsid w:val="006331C3"/>
    <w:rsid w:val="006338C1"/>
    <w:rsid w:val="00634506"/>
    <w:rsid w:val="00635E80"/>
    <w:rsid w:val="00637852"/>
    <w:rsid w:val="006403C4"/>
    <w:rsid w:val="00641AFF"/>
    <w:rsid w:val="00644366"/>
    <w:rsid w:val="00645299"/>
    <w:rsid w:val="0064580C"/>
    <w:rsid w:val="00655135"/>
    <w:rsid w:val="00655667"/>
    <w:rsid w:val="00655AA6"/>
    <w:rsid w:val="00661690"/>
    <w:rsid w:val="00661FA5"/>
    <w:rsid w:val="00664406"/>
    <w:rsid w:val="006669BC"/>
    <w:rsid w:val="00666C4E"/>
    <w:rsid w:val="00670CDA"/>
    <w:rsid w:val="00680622"/>
    <w:rsid w:val="0068337E"/>
    <w:rsid w:val="00684258"/>
    <w:rsid w:val="00684A3B"/>
    <w:rsid w:val="0069430D"/>
    <w:rsid w:val="006A1C07"/>
    <w:rsid w:val="006A1C10"/>
    <w:rsid w:val="006A6083"/>
    <w:rsid w:val="006A7EA4"/>
    <w:rsid w:val="006B221A"/>
    <w:rsid w:val="006B3BE6"/>
    <w:rsid w:val="006B49DB"/>
    <w:rsid w:val="006B7392"/>
    <w:rsid w:val="006C4249"/>
    <w:rsid w:val="006D03E6"/>
    <w:rsid w:val="006D35B0"/>
    <w:rsid w:val="006E0F45"/>
    <w:rsid w:val="006E227F"/>
    <w:rsid w:val="006E3D15"/>
    <w:rsid w:val="006E772D"/>
    <w:rsid w:val="006E7F1D"/>
    <w:rsid w:val="006F3FB2"/>
    <w:rsid w:val="006F4ED4"/>
    <w:rsid w:val="006F51A6"/>
    <w:rsid w:val="006F54B2"/>
    <w:rsid w:val="006F7121"/>
    <w:rsid w:val="006F74E6"/>
    <w:rsid w:val="006F76E5"/>
    <w:rsid w:val="007047E1"/>
    <w:rsid w:val="00706D74"/>
    <w:rsid w:val="00707656"/>
    <w:rsid w:val="00712DCF"/>
    <w:rsid w:val="007164B3"/>
    <w:rsid w:val="00720A50"/>
    <w:rsid w:val="00721B35"/>
    <w:rsid w:val="00723CB5"/>
    <w:rsid w:val="007246C5"/>
    <w:rsid w:val="00727122"/>
    <w:rsid w:val="00731105"/>
    <w:rsid w:val="00732D3C"/>
    <w:rsid w:val="0073393C"/>
    <w:rsid w:val="00734ECF"/>
    <w:rsid w:val="007407FA"/>
    <w:rsid w:val="0074145F"/>
    <w:rsid w:val="00746C39"/>
    <w:rsid w:val="00747DC6"/>
    <w:rsid w:val="00750199"/>
    <w:rsid w:val="007513A1"/>
    <w:rsid w:val="0075442E"/>
    <w:rsid w:val="00760FE5"/>
    <w:rsid w:val="00763677"/>
    <w:rsid w:val="00766B28"/>
    <w:rsid w:val="00773B5D"/>
    <w:rsid w:val="0077753D"/>
    <w:rsid w:val="00777F2B"/>
    <w:rsid w:val="00783B44"/>
    <w:rsid w:val="007844DD"/>
    <w:rsid w:val="00785248"/>
    <w:rsid w:val="00786999"/>
    <w:rsid w:val="00790E6A"/>
    <w:rsid w:val="00791348"/>
    <w:rsid w:val="00791EDC"/>
    <w:rsid w:val="00796AAE"/>
    <w:rsid w:val="00796E49"/>
    <w:rsid w:val="00797DBD"/>
    <w:rsid w:val="007A0AAF"/>
    <w:rsid w:val="007A1C55"/>
    <w:rsid w:val="007A29F0"/>
    <w:rsid w:val="007A2D4C"/>
    <w:rsid w:val="007C0FEB"/>
    <w:rsid w:val="007C10DA"/>
    <w:rsid w:val="007C70A0"/>
    <w:rsid w:val="007D74B8"/>
    <w:rsid w:val="007E3BFC"/>
    <w:rsid w:val="007E7708"/>
    <w:rsid w:val="0080034A"/>
    <w:rsid w:val="008045B6"/>
    <w:rsid w:val="0080561F"/>
    <w:rsid w:val="00806A26"/>
    <w:rsid w:val="00806A88"/>
    <w:rsid w:val="00806CCB"/>
    <w:rsid w:val="00810046"/>
    <w:rsid w:val="00813F1F"/>
    <w:rsid w:val="00814A21"/>
    <w:rsid w:val="00815C90"/>
    <w:rsid w:val="008206A3"/>
    <w:rsid w:val="00822B11"/>
    <w:rsid w:val="0083155B"/>
    <w:rsid w:val="00831A8F"/>
    <w:rsid w:val="00837696"/>
    <w:rsid w:val="008423DA"/>
    <w:rsid w:val="00850A5F"/>
    <w:rsid w:val="00862C7B"/>
    <w:rsid w:val="00865A2F"/>
    <w:rsid w:val="008662F2"/>
    <w:rsid w:val="0086677C"/>
    <w:rsid w:val="008755A7"/>
    <w:rsid w:val="00875DDE"/>
    <w:rsid w:val="0088275C"/>
    <w:rsid w:val="0088285B"/>
    <w:rsid w:val="00886730"/>
    <w:rsid w:val="00886BE8"/>
    <w:rsid w:val="008916AC"/>
    <w:rsid w:val="00891737"/>
    <w:rsid w:val="00892E90"/>
    <w:rsid w:val="008A1814"/>
    <w:rsid w:val="008B2E2F"/>
    <w:rsid w:val="008C247F"/>
    <w:rsid w:val="008C39EE"/>
    <w:rsid w:val="008C49D4"/>
    <w:rsid w:val="008C6552"/>
    <w:rsid w:val="008D33D6"/>
    <w:rsid w:val="008D3E56"/>
    <w:rsid w:val="008D4C76"/>
    <w:rsid w:val="008D7956"/>
    <w:rsid w:val="008E053E"/>
    <w:rsid w:val="008E3606"/>
    <w:rsid w:val="008E530F"/>
    <w:rsid w:val="008F2547"/>
    <w:rsid w:val="008F3024"/>
    <w:rsid w:val="008F5AEE"/>
    <w:rsid w:val="008F67D5"/>
    <w:rsid w:val="008F6EBF"/>
    <w:rsid w:val="008F791F"/>
    <w:rsid w:val="00900160"/>
    <w:rsid w:val="00901888"/>
    <w:rsid w:val="00901B64"/>
    <w:rsid w:val="0090682C"/>
    <w:rsid w:val="009077FD"/>
    <w:rsid w:val="00907D58"/>
    <w:rsid w:val="0091129E"/>
    <w:rsid w:val="00911FCA"/>
    <w:rsid w:val="009120E0"/>
    <w:rsid w:val="00912AD9"/>
    <w:rsid w:val="009130D9"/>
    <w:rsid w:val="00924D42"/>
    <w:rsid w:val="009327D4"/>
    <w:rsid w:val="00934F4E"/>
    <w:rsid w:val="0093523E"/>
    <w:rsid w:val="00941397"/>
    <w:rsid w:val="00947B11"/>
    <w:rsid w:val="00947FF7"/>
    <w:rsid w:val="009513B9"/>
    <w:rsid w:val="00952B5B"/>
    <w:rsid w:val="00962C26"/>
    <w:rsid w:val="009635F7"/>
    <w:rsid w:val="00966F20"/>
    <w:rsid w:val="009706F2"/>
    <w:rsid w:val="00977108"/>
    <w:rsid w:val="00977B15"/>
    <w:rsid w:val="00977D03"/>
    <w:rsid w:val="009818AF"/>
    <w:rsid w:val="009824AC"/>
    <w:rsid w:val="00983D06"/>
    <w:rsid w:val="00984457"/>
    <w:rsid w:val="00984DD0"/>
    <w:rsid w:val="00986B03"/>
    <w:rsid w:val="0099085B"/>
    <w:rsid w:val="009910CC"/>
    <w:rsid w:val="00992FF6"/>
    <w:rsid w:val="009960E5"/>
    <w:rsid w:val="0099767E"/>
    <w:rsid w:val="009C099A"/>
    <w:rsid w:val="009C1B07"/>
    <w:rsid w:val="009C5078"/>
    <w:rsid w:val="009C70DC"/>
    <w:rsid w:val="009E2FB1"/>
    <w:rsid w:val="009E59DC"/>
    <w:rsid w:val="009E5B3A"/>
    <w:rsid w:val="009E5C26"/>
    <w:rsid w:val="009E6126"/>
    <w:rsid w:val="009E613A"/>
    <w:rsid w:val="009E7A62"/>
    <w:rsid w:val="009F4CA8"/>
    <w:rsid w:val="009F72EB"/>
    <w:rsid w:val="00A03544"/>
    <w:rsid w:val="00A1169A"/>
    <w:rsid w:val="00A17BCE"/>
    <w:rsid w:val="00A17F83"/>
    <w:rsid w:val="00A20F8F"/>
    <w:rsid w:val="00A27D86"/>
    <w:rsid w:val="00A340C3"/>
    <w:rsid w:val="00A3655B"/>
    <w:rsid w:val="00A36E9E"/>
    <w:rsid w:val="00A428C0"/>
    <w:rsid w:val="00A4470A"/>
    <w:rsid w:val="00A46BF6"/>
    <w:rsid w:val="00A47B42"/>
    <w:rsid w:val="00A51C14"/>
    <w:rsid w:val="00A534AE"/>
    <w:rsid w:val="00A559E0"/>
    <w:rsid w:val="00A57E70"/>
    <w:rsid w:val="00A608FE"/>
    <w:rsid w:val="00A60C02"/>
    <w:rsid w:val="00A6314B"/>
    <w:rsid w:val="00A63251"/>
    <w:rsid w:val="00A654B4"/>
    <w:rsid w:val="00A726F0"/>
    <w:rsid w:val="00A76DEE"/>
    <w:rsid w:val="00A77949"/>
    <w:rsid w:val="00A8381E"/>
    <w:rsid w:val="00A87D38"/>
    <w:rsid w:val="00A94137"/>
    <w:rsid w:val="00A9516D"/>
    <w:rsid w:val="00A95446"/>
    <w:rsid w:val="00A97C6A"/>
    <w:rsid w:val="00AA0E88"/>
    <w:rsid w:val="00AA1897"/>
    <w:rsid w:val="00AA30B0"/>
    <w:rsid w:val="00AA45D8"/>
    <w:rsid w:val="00AA5839"/>
    <w:rsid w:val="00AB154A"/>
    <w:rsid w:val="00AB1A91"/>
    <w:rsid w:val="00AB22ED"/>
    <w:rsid w:val="00AB3270"/>
    <w:rsid w:val="00AB630A"/>
    <w:rsid w:val="00AB679D"/>
    <w:rsid w:val="00AE529D"/>
    <w:rsid w:val="00AE5B9C"/>
    <w:rsid w:val="00AE7666"/>
    <w:rsid w:val="00AE7C78"/>
    <w:rsid w:val="00B00C17"/>
    <w:rsid w:val="00B04556"/>
    <w:rsid w:val="00B0589E"/>
    <w:rsid w:val="00B10479"/>
    <w:rsid w:val="00B1193D"/>
    <w:rsid w:val="00B12865"/>
    <w:rsid w:val="00B1414B"/>
    <w:rsid w:val="00B17F55"/>
    <w:rsid w:val="00B23AA3"/>
    <w:rsid w:val="00B26052"/>
    <w:rsid w:val="00B30A42"/>
    <w:rsid w:val="00B35AA6"/>
    <w:rsid w:val="00B35E0F"/>
    <w:rsid w:val="00B360FE"/>
    <w:rsid w:val="00B41318"/>
    <w:rsid w:val="00B428EA"/>
    <w:rsid w:val="00B43AA5"/>
    <w:rsid w:val="00B459E2"/>
    <w:rsid w:val="00B47DEF"/>
    <w:rsid w:val="00B538FE"/>
    <w:rsid w:val="00B54988"/>
    <w:rsid w:val="00B54BD1"/>
    <w:rsid w:val="00B5756E"/>
    <w:rsid w:val="00B66DC4"/>
    <w:rsid w:val="00B72D08"/>
    <w:rsid w:val="00B749A1"/>
    <w:rsid w:val="00B75049"/>
    <w:rsid w:val="00B76C8F"/>
    <w:rsid w:val="00B81D78"/>
    <w:rsid w:val="00B85F2A"/>
    <w:rsid w:val="00B877B9"/>
    <w:rsid w:val="00B95373"/>
    <w:rsid w:val="00BA59F2"/>
    <w:rsid w:val="00BA659B"/>
    <w:rsid w:val="00BB2945"/>
    <w:rsid w:val="00BC36C9"/>
    <w:rsid w:val="00BC40AB"/>
    <w:rsid w:val="00BD4C1B"/>
    <w:rsid w:val="00BD731E"/>
    <w:rsid w:val="00BE4568"/>
    <w:rsid w:val="00BF04E5"/>
    <w:rsid w:val="00BF32AA"/>
    <w:rsid w:val="00BF3B00"/>
    <w:rsid w:val="00C026C8"/>
    <w:rsid w:val="00C03EF4"/>
    <w:rsid w:val="00C07D8B"/>
    <w:rsid w:val="00C16EFD"/>
    <w:rsid w:val="00C22827"/>
    <w:rsid w:val="00C22865"/>
    <w:rsid w:val="00C3065B"/>
    <w:rsid w:val="00C33195"/>
    <w:rsid w:val="00C3665C"/>
    <w:rsid w:val="00C37482"/>
    <w:rsid w:val="00C4312B"/>
    <w:rsid w:val="00C46B27"/>
    <w:rsid w:val="00C55CE1"/>
    <w:rsid w:val="00C56712"/>
    <w:rsid w:val="00C67757"/>
    <w:rsid w:val="00C67F0D"/>
    <w:rsid w:val="00C70D96"/>
    <w:rsid w:val="00C72367"/>
    <w:rsid w:val="00C74AD1"/>
    <w:rsid w:val="00C77BFA"/>
    <w:rsid w:val="00C82E54"/>
    <w:rsid w:val="00C83EDD"/>
    <w:rsid w:val="00C85FCE"/>
    <w:rsid w:val="00C90ADD"/>
    <w:rsid w:val="00C95982"/>
    <w:rsid w:val="00C96B8F"/>
    <w:rsid w:val="00C96BAF"/>
    <w:rsid w:val="00C97038"/>
    <w:rsid w:val="00C97B62"/>
    <w:rsid w:val="00CA07EC"/>
    <w:rsid w:val="00CA19B5"/>
    <w:rsid w:val="00CA1C5D"/>
    <w:rsid w:val="00CA22B0"/>
    <w:rsid w:val="00CC0409"/>
    <w:rsid w:val="00CC2337"/>
    <w:rsid w:val="00CC3AEA"/>
    <w:rsid w:val="00CC5D61"/>
    <w:rsid w:val="00CD542B"/>
    <w:rsid w:val="00CD74A3"/>
    <w:rsid w:val="00CE0EBC"/>
    <w:rsid w:val="00CE2600"/>
    <w:rsid w:val="00CE464A"/>
    <w:rsid w:val="00CF3C3C"/>
    <w:rsid w:val="00CF704C"/>
    <w:rsid w:val="00D11D4D"/>
    <w:rsid w:val="00D143F1"/>
    <w:rsid w:val="00D16ADD"/>
    <w:rsid w:val="00D22F34"/>
    <w:rsid w:val="00D24E33"/>
    <w:rsid w:val="00D31818"/>
    <w:rsid w:val="00D32147"/>
    <w:rsid w:val="00D32C2D"/>
    <w:rsid w:val="00D4047D"/>
    <w:rsid w:val="00D42DEB"/>
    <w:rsid w:val="00D439B4"/>
    <w:rsid w:val="00D502E3"/>
    <w:rsid w:val="00D50C5C"/>
    <w:rsid w:val="00D657C1"/>
    <w:rsid w:val="00D814B8"/>
    <w:rsid w:val="00D8271E"/>
    <w:rsid w:val="00D82B79"/>
    <w:rsid w:val="00D86C1E"/>
    <w:rsid w:val="00D90056"/>
    <w:rsid w:val="00D92B32"/>
    <w:rsid w:val="00D9710F"/>
    <w:rsid w:val="00DA0898"/>
    <w:rsid w:val="00DA2971"/>
    <w:rsid w:val="00DA3F76"/>
    <w:rsid w:val="00DB2AF5"/>
    <w:rsid w:val="00DB3F50"/>
    <w:rsid w:val="00DB4058"/>
    <w:rsid w:val="00DC050E"/>
    <w:rsid w:val="00DC24DE"/>
    <w:rsid w:val="00DD0F54"/>
    <w:rsid w:val="00DD1E11"/>
    <w:rsid w:val="00DD5D46"/>
    <w:rsid w:val="00DD696F"/>
    <w:rsid w:val="00DD733C"/>
    <w:rsid w:val="00DD799E"/>
    <w:rsid w:val="00DE1426"/>
    <w:rsid w:val="00DE2D7C"/>
    <w:rsid w:val="00DE3975"/>
    <w:rsid w:val="00DF7012"/>
    <w:rsid w:val="00E05D1A"/>
    <w:rsid w:val="00E07BF9"/>
    <w:rsid w:val="00E11027"/>
    <w:rsid w:val="00E1222B"/>
    <w:rsid w:val="00E163E6"/>
    <w:rsid w:val="00E1680B"/>
    <w:rsid w:val="00E26DD7"/>
    <w:rsid w:val="00E32C81"/>
    <w:rsid w:val="00E34BDA"/>
    <w:rsid w:val="00E35E95"/>
    <w:rsid w:val="00E40F8F"/>
    <w:rsid w:val="00E41C35"/>
    <w:rsid w:val="00E4352A"/>
    <w:rsid w:val="00E50EC4"/>
    <w:rsid w:val="00E5198F"/>
    <w:rsid w:val="00E5403C"/>
    <w:rsid w:val="00E54B16"/>
    <w:rsid w:val="00E563BB"/>
    <w:rsid w:val="00E63934"/>
    <w:rsid w:val="00E64B43"/>
    <w:rsid w:val="00E66657"/>
    <w:rsid w:val="00E72F8C"/>
    <w:rsid w:val="00E738BD"/>
    <w:rsid w:val="00E74C22"/>
    <w:rsid w:val="00E74F5B"/>
    <w:rsid w:val="00E75B74"/>
    <w:rsid w:val="00E85C92"/>
    <w:rsid w:val="00E86640"/>
    <w:rsid w:val="00E924B9"/>
    <w:rsid w:val="00E95FE6"/>
    <w:rsid w:val="00E97DE5"/>
    <w:rsid w:val="00EA477E"/>
    <w:rsid w:val="00EB5EC1"/>
    <w:rsid w:val="00EB656A"/>
    <w:rsid w:val="00EC041A"/>
    <w:rsid w:val="00EC24B5"/>
    <w:rsid w:val="00EC6085"/>
    <w:rsid w:val="00ED15EC"/>
    <w:rsid w:val="00ED3D52"/>
    <w:rsid w:val="00ED4F9B"/>
    <w:rsid w:val="00EE0F31"/>
    <w:rsid w:val="00EE2556"/>
    <w:rsid w:val="00EE501F"/>
    <w:rsid w:val="00EE65C9"/>
    <w:rsid w:val="00EF1109"/>
    <w:rsid w:val="00EF1967"/>
    <w:rsid w:val="00EF2E73"/>
    <w:rsid w:val="00EF51B5"/>
    <w:rsid w:val="00EF534F"/>
    <w:rsid w:val="00EF6193"/>
    <w:rsid w:val="00F00B2C"/>
    <w:rsid w:val="00F02041"/>
    <w:rsid w:val="00F07361"/>
    <w:rsid w:val="00F07C7A"/>
    <w:rsid w:val="00F10F9A"/>
    <w:rsid w:val="00F1575B"/>
    <w:rsid w:val="00F22082"/>
    <w:rsid w:val="00F225B5"/>
    <w:rsid w:val="00F22CA3"/>
    <w:rsid w:val="00F2318E"/>
    <w:rsid w:val="00F24DFD"/>
    <w:rsid w:val="00F308A6"/>
    <w:rsid w:val="00F403F4"/>
    <w:rsid w:val="00F51E2E"/>
    <w:rsid w:val="00F52632"/>
    <w:rsid w:val="00F5390D"/>
    <w:rsid w:val="00F54E1C"/>
    <w:rsid w:val="00F56A31"/>
    <w:rsid w:val="00F61BC5"/>
    <w:rsid w:val="00F6771B"/>
    <w:rsid w:val="00F7120C"/>
    <w:rsid w:val="00F71788"/>
    <w:rsid w:val="00F7444C"/>
    <w:rsid w:val="00F76237"/>
    <w:rsid w:val="00F77E01"/>
    <w:rsid w:val="00F809B6"/>
    <w:rsid w:val="00F84CB0"/>
    <w:rsid w:val="00F8627A"/>
    <w:rsid w:val="00F93B5B"/>
    <w:rsid w:val="00F96E58"/>
    <w:rsid w:val="00FA3269"/>
    <w:rsid w:val="00FA6D5A"/>
    <w:rsid w:val="00FA703E"/>
    <w:rsid w:val="00FA7614"/>
    <w:rsid w:val="00FB0120"/>
    <w:rsid w:val="00FB552D"/>
    <w:rsid w:val="00FC1C94"/>
    <w:rsid w:val="00FC59ED"/>
    <w:rsid w:val="00FC5C52"/>
    <w:rsid w:val="00FD42C9"/>
    <w:rsid w:val="00FE1C82"/>
    <w:rsid w:val="00FE2A80"/>
    <w:rsid w:val="00FF0D33"/>
    <w:rsid w:val="00FF0EDD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20A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720A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20A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20A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link w:val="a4"/>
    <w:qFormat/>
    <w:rsid w:val="00E74F5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783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83B44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6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C4E"/>
    <w:rPr>
      <w:rFonts w:ascii="Tahoma" w:hAnsi="Tahoma" w:cs="Tahoma"/>
      <w:sz w:val="16"/>
      <w:szCs w:val="16"/>
    </w:rPr>
  </w:style>
  <w:style w:type="paragraph" w:styleId="a7">
    <w:name w:val="Body Text"/>
    <w:aliases w:val="Основной текст1,Основной текст Знак Знак,bt"/>
    <w:basedOn w:val="a"/>
    <w:link w:val="a8"/>
    <w:uiPriority w:val="99"/>
    <w:rsid w:val="001B6F41"/>
    <w:pPr>
      <w:spacing w:after="120" w:line="240" w:lineRule="auto"/>
    </w:pPr>
    <w:rPr>
      <w:rFonts w:eastAsia="Times New Roman" w:cs="Times New Roman"/>
      <w:sz w:val="24"/>
      <w:szCs w:val="20"/>
    </w:rPr>
  </w:style>
  <w:style w:type="character" w:customStyle="1" w:styleId="a8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rsid w:val="001B6F41"/>
    <w:rPr>
      <w:rFonts w:eastAsia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1B6F4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rsid w:val="001B6F41"/>
    <w:rPr>
      <w:rFonts w:eastAsia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6F41"/>
    <w:rPr>
      <w:rFonts w:ascii="Calibri" w:eastAsiaTheme="minorEastAsia" w:hAnsi="Calibri" w:cs="Calibri"/>
      <w:lang w:eastAsia="ru-RU"/>
    </w:rPr>
  </w:style>
  <w:style w:type="paragraph" w:customStyle="1" w:styleId="Point">
    <w:name w:val="Point"/>
    <w:basedOn w:val="a"/>
    <w:link w:val="PointChar"/>
    <w:rsid w:val="001B6F41"/>
    <w:pPr>
      <w:spacing w:before="120" w:after="0" w:line="288" w:lineRule="auto"/>
      <w:ind w:firstLine="720"/>
      <w:jc w:val="both"/>
    </w:pPr>
    <w:rPr>
      <w:rFonts w:eastAsia="Times New Roman" w:cs="Times New Roman"/>
      <w:sz w:val="24"/>
      <w:szCs w:val="24"/>
    </w:rPr>
  </w:style>
  <w:style w:type="character" w:customStyle="1" w:styleId="PointChar">
    <w:name w:val="Point Char"/>
    <w:link w:val="Point"/>
    <w:locked/>
    <w:rsid w:val="001B6F41"/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6F41"/>
    <w:rPr>
      <w:rFonts w:cs="Times New Roman"/>
    </w:rPr>
  </w:style>
  <w:style w:type="paragraph" w:customStyle="1" w:styleId="BodyText22">
    <w:name w:val="Body Text 22"/>
    <w:basedOn w:val="a"/>
    <w:rsid w:val="001B6F41"/>
    <w:pPr>
      <w:spacing w:after="0" w:line="240" w:lineRule="auto"/>
      <w:ind w:firstLine="709"/>
      <w:jc w:val="both"/>
    </w:pPr>
    <w:rPr>
      <w:rFonts w:eastAsia="Times New Roman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1B6F4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B6F41"/>
    <w:rPr>
      <w:rFonts w:eastAsia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B6F4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1B6F41"/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1B6F41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1B6F41"/>
    <w:pPr>
      <w:spacing w:after="0" w:line="240" w:lineRule="auto"/>
      <w:ind w:left="714" w:hanging="357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4 Знак"/>
    <w:rsid w:val="00727122"/>
    <w:rPr>
      <w:b/>
      <w:bCs/>
      <w:sz w:val="28"/>
      <w:szCs w:val="28"/>
      <w:lang w:val="ru-RU" w:eastAsia="ru-RU" w:bidi="ar-SA"/>
    </w:rPr>
  </w:style>
  <w:style w:type="paragraph" w:customStyle="1" w:styleId="1">
    <w:name w:val="Обычный1"/>
    <w:rsid w:val="00727122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4F49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F4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20A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720A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20A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20A5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link w:val="a4"/>
    <w:qFormat/>
    <w:rsid w:val="00E74F5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783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83B44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6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C4E"/>
    <w:rPr>
      <w:rFonts w:ascii="Tahoma" w:hAnsi="Tahoma" w:cs="Tahoma"/>
      <w:sz w:val="16"/>
      <w:szCs w:val="16"/>
    </w:rPr>
  </w:style>
  <w:style w:type="paragraph" w:styleId="a7">
    <w:name w:val="Body Text"/>
    <w:aliases w:val="Основной текст1,Основной текст Знак Знак,bt"/>
    <w:basedOn w:val="a"/>
    <w:link w:val="a8"/>
    <w:uiPriority w:val="99"/>
    <w:rsid w:val="001B6F41"/>
    <w:pPr>
      <w:spacing w:after="120" w:line="240" w:lineRule="auto"/>
    </w:pPr>
    <w:rPr>
      <w:rFonts w:eastAsia="Times New Roman" w:cs="Times New Roman"/>
      <w:sz w:val="24"/>
      <w:szCs w:val="20"/>
    </w:rPr>
  </w:style>
  <w:style w:type="character" w:customStyle="1" w:styleId="a8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rsid w:val="001B6F41"/>
    <w:rPr>
      <w:rFonts w:eastAsia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1B6F4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uiPriority w:val="10"/>
    <w:rsid w:val="001B6F41"/>
    <w:rPr>
      <w:rFonts w:eastAsia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6F41"/>
    <w:rPr>
      <w:rFonts w:ascii="Calibri" w:eastAsiaTheme="minorEastAsia" w:hAnsi="Calibri" w:cs="Calibri"/>
      <w:lang w:eastAsia="ru-RU"/>
    </w:rPr>
  </w:style>
  <w:style w:type="paragraph" w:customStyle="1" w:styleId="Point">
    <w:name w:val="Point"/>
    <w:basedOn w:val="a"/>
    <w:link w:val="PointChar"/>
    <w:rsid w:val="001B6F41"/>
    <w:pPr>
      <w:spacing w:before="120" w:after="0" w:line="288" w:lineRule="auto"/>
      <w:ind w:firstLine="720"/>
      <w:jc w:val="both"/>
    </w:pPr>
    <w:rPr>
      <w:rFonts w:eastAsia="Times New Roman" w:cs="Times New Roman"/>
      <w:sz w:val="24"/>
      <w:szCs w:val="24"/>
    </w:rPr>
  </w:style>
  <w:style w:type="character" w:customStyle="1" w:styleId="PointChar">
    <w:name w:val="Point Char"/>
    <w:link w:val="Point"/>
    <w:locked/>
    <w:rsid w:val="001B6F41"/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6F41"/>
    <w:rPr>
      <w:rFonts w:cs="Times New Roman"/>
    </w:rPr>
  </w:style>
  <w:style w:type="paragraph" w:customStyle="1" w:styleId="BodyText22">
    <w:name w:val="Body Text 22"/>
    <w:basedOn w:val="a"/>
    <w:rsid w:val="001B6F41"/>
    <w:pPr>
      <w:spacing w:after="0" w:line="240" w:lineRule="auto"/>
      <w:ind w:firstLine="709"/>
      <w:jc w:val="both"/>
    </w:pPr>
    <w:rPr>
      <w:rFonts w:eastAsia="Times New Roman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1B6F4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B6F41"/>
    <w:rPr>
      <w:rFonts w:eastAsia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B6F4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1B6F41"/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1B6F41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1B6F41"/>
    <w:pPr>
      <w:spacing w:after="0" w:line="240" w:lineRule="auto"/>
      <w:ind w:left="714" w:hanging="357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4 Знак"/>
    <w:rsid w:val="00727122"/>
    <w:rPr>
      <w:b/>
      <w:bCs/>
      <w:sz w:val="28"/>
      <w:szCs w:val="28"/>
      <w:lang w:val="ru-RU" w:eastAsia="ru-RU" w:bidi="ar-SA"/>
    </w:rPr>
  </w:style>
  <w:style w:type="paragraph" w:customStyle="1" w:styleId="1">
    <w:name w:val="Обычный1"/>
    <w:rsid w:val="00727122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4F49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F4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8B16F-0681-4643-B77A-33B8D15E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Тубылова В.В.</dc:creator>
  <cp:lastModifiedBy>пользователь</cp:lastModifiedBy>
  <cp:revision>3</cp:revision>
  <cp:lastPrinted>2021-03-25T10:36:00Z</cp:lastPrinted>
  <dcterms:created xsi:type="dcterms:W3CDTF">2022-05-16T10:38:00Z</dcterms:created>
  <dcterms:modified xsi:type="dcterms:W3CDTF">2022-05-16T10:59:00Z</dcterms:modified>
</cp:coreProperties>
</file>