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приказом Министерства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социальной политики и труда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Удмуртской Республики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_»_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______2024 года № 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bCs/>
          <w:sz w:val="28"/>
          <w:szCs w:val="28"/>
        </w:rPr>
        <w:t xml:space="preserve">при проведении Министерством социальной политики и труда Удмуртской Республики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регионального государственного контроля (надзора) за приемом на работу инвалидов в пределах установленной квоты на 2025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hd w:val="clear" w:color="auto" w:fill="ffffff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Раздел 1.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Анализ текущего состояния осуществления ре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гионального государственного контроля (надзора)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за приемом на работу инвалидов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в пределах установленной квоты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9"/>
        <w:jc w:val="both"/>
        <w:shd w:val="clear" w:color="auto" w:fill="ffffff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hd w:val="clear" w:color="auto" w:fill="ffffff"/>
        <w:widowControl/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Настоящая программа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профилактики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рисков причинени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 вреда (ущерба) охраняемым законом ценностям при проведении Министерством социальной политики и труда Удмуртской Республики регионального государственного контроля (надзора) за приемом на работу инвалидов в пределах установленной квоты на 2025 год (далее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программа профилактики) </w:t>
      </w:r>
      <w:commentRangeStart w:id="0"/>
      <w:r/>
      <w:commentRangeStart w:id="1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предусматривает</w:t>
      </w:r>
      <w:commentRangeEnd w:id="0"/>
      <w:r>
        <w:commentReference w:id="0"/>
      </w:r>
      <w:r/>
      <w:commentRangeEnd w:id="1"/>
      <w:r>
        <w:commentReference w:id="1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порядок проведения профилактических мероприятий, направленных на профилактику рисков причинения вреда (ущерба) охраняемым законом ценностям в сфере регионального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контроля (надзора) за приемо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 на работу инвалидов в пределах установленной квоты, осуществляемого Министерством социальной политики и труда Удмуртской Республики (далее – Министерство).</w:t>
      </w: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</w:p>
    <w:p>
      <w:pPr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ind w:left="0" w:firstLine="0"/>
        <w:jc w:val="center"/>
        <w:widowControl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Подраздел 1.1. Описание текущего развития профилактической деятельности при осуществлении регионального г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осударственного контроля (надзора)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за приемом на работу инвалидов в пределах установленной квоты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755"/>
        <w:ind w:left="0"/>
        <w:widowControl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755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Обязательными требованиями являются требования, установленные </w:t>
      </w:r>
      <w:r>
        <w:rPr>
          <w:rFonts w:ascii="Times New Roman" w:hAnsi="Times New Roman"/>
          <w:sz w:val="28"/>
          <w:szCs w:val="28"/>
        </w:rPr>
        <w:t xml:space="preserve">Федеральным законом от 12 декабря 2023 года № 565-ФЗ «</w:t>
      </w:r>
      <w:commentRangeStart w:id="2"/>
      <w:r/>
      <w:commentRangeEnd w:id="2"/>
      <w:r>
        <w:commentReference w:id="2"/>
      </w:r>
      <w:r>
        <w:rPr>
          <w:rFonts w:ascii="Times New Roman" w:hAnsi="Times New Roman"/>
          <w:sz w:val="28"/>
          <w:szCs w:val="28"/>
        </w:rPr>
        <w:t xml:space="preserve">О занятости населения в Российской Федерации» (далее – Закон о занятости), </w:t>
      </w:r>
      <w:r>
        <w:rPr>
          <w:rFonts w:ascii="Times New Roman" w:hAnsi="Times New Roman" w:eastAsiaTheme="minorHAnsi"/>
          <w:sz w:val="28"/>
          <w:szCs w:val="28"/>
        </w:rPr>
        <w:t xml:space="preserve">Федеральным </w:t>
      </w:r>
      <w:hyperlink r:id="rId12" w:tooltip="consultantplus://offline/ref=6AA00723D9D9EFC9951CC67DF1FFBA483D74FC8362DC9E747AE42EEA1857D5ED976FF946DF6F446A99B5D045C1lCk8O" w:history="1">
        <w:r>
          <w:rPr>
            <w:rFonts w:ascii="Times New Roman" w:hAnsi="Times New Roman" w:eastAsiaTheme="minorHAnsi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№ 181-ФЗ </w:t>
      </w:r>
      <w:r>
        <w:rPr>
          <w:rFonts w:ascii="Times New Roman" w:hAnsi="Times New Roman" w:eastAsiaTheme="minorHAnsi"/>
          <w:sz w:val="28"/>
          <w:szCs w:val="28"/>
        </w:rPr>
        <w:t xml:space="preserve">«О социальной защите</w:t>
      </w:r>
      <w:r>
        <w:rPr>
          <w:rFonts w:ascii="Times New Roman" w:hAnsi="Times New Roman" w:eastAsiaTheme="minorHAnsi"/>
          <w:sz w:val="28"/>
          <w:szCs w:val="28"/>
        </w:rPr>
        <w:t xml:space="preserve"> инвалидов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 </w:t>
      </w:r>
      <w:commentRangeStart w:id="3"/>
      <w:r>
        <w:rPr>
          <w:rFonts w:ascii="Times New Roman" w:hAnsi="Times New Roman" w:eastAsiaTheme="minorHAnsi"/>
          <w:sz w:val="28"/>
          <w:szCs w:val="28"/>
        </w:rPr>
        <w:t xml:space="preserve">в сфере занятос</w:t>
      </w:r>
      <w:r>
        <w:rPr>
          <w:rFonts w:ascii="Times New Roman" w:hAnsi="Times New Roman" w:eastAsiaTheme="minorHAnsi"/>
          <w:sz w:val="28"/>
          <w:szCs w:val="28"/>
        </w:rPr>
        <w:t xml:space="preserve">ти населения</w:t>
      </w:r>
      <w:commentRangeEnd w:id="3"/>
      <w:r>
        <w:commentReference w:id="3"/>
      </w:r>
      <w:r>
        <w:rPr>
          <w:rFonts w:ascii="Times New Roman" w:hAnsi="Times New Roman" w:eastAsiaTheme="minorHAnsi"/>
          <w:sz w:val="28"/>
          <w:szCs w:val="28"/>
        </w:rPr>
        <w:t xml:space="preserve">, по приему на работу инвалидов в пределах установленной квоты.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</w:p>
    <w:p>
      <w:pPr>
        <w:pStyle w:val="755"/>
        <w:ind w:left="0"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>
        <w:rPr>
          <w:rFonts w:ascii="Times New Roman" w:hAnsi="Times New Roman"/>
          <w:sz w:val="28"/>
          <w:szCs w:val="28"/>
        </w:rPr>
        <w:t xml:space="preserve">соблюдение которых оценивается при проведении мероприятий </w:t>
      </w:r>
      <w:r>
        <w:rPr>
          <w:rFonts w:ascii="Times New Roman" w:hAnsi="Times New Roman"/>
          <w:sz w:val="28"/>
          <w:szCs w:val="28"/>
        </w:rPr>
        <w:t xml:space="preserve">по региональному государственному контролю (надзору) за приемом на работу инвалидо</w:t>
      </w:r>
      <w:r>
        <w:rPr>
          <w:rFonts w:ascii="Times New Roman" w:hAnsi="Times New Roman"/>
          <w:sz w:val="28"/>
          <w:szCs w:val="28"/>
        </w:rPr>
        <w:t xml:space="preserve">в в пределах установленной квоты, 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твержден приказом Министерства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от 30 сентября 2022 года № 179.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постановлению Правительства Удмуртской Республики </w:t>
      </w:r>
      <w:r>
        <w:rPr>
          <w:rFonts w:ascii="Times New Roman" w:hAnsi="Times New Roman"/>
          <w:sz w:val="28"/>
          <w:szCs w:val="28"/>
        </w:rPr>
        <w:br/>
        <w:t xml:space="preserve">от 28 ноября 2016 года № 500 «Об определении порядка проведения отдельных специальных мероприятий, способствующих повышению </w:t>
      </w:r>
      <w:r>
        <w:rPr>
          <w:rFonts w:ascii="Times New Roman" w:hAnsi="Times New Roman"/>
          <w:sz w:val="28"/>
          <w:szCs w:val="28"/>
        </w:rPr>
        <w:t xml:space="preserve">конкурен</w:t>
      </w:r>
      <w:r>
        <w:rPr>
          <w:rFonts w:ascii="Times New Roman" w:hAnsi="Times New Roman"/>
          <w:sz w:val="28"/>
          <w:szCs w:val="28"/>
        </w:rPr>
        <w:t xml:space="preserve">тоспособности инвалидов на рынке труда Удмуртской Республики» (далее - Постановление 500) 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вота установлена: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работодателям, численность работников которых превышает 35 и до 100 человек включительно, устанавливается квота в размере </w:t>
      </w:r>
      <w:r>
        <w:rPr>
          <w:rFonts w:ascii="Times New Roman" w:hAnsi="Times New Roman"/>
          <w:sz w:val="28"/>
          <w:szCs w:val="28"/>
        </w:rPr>
        <w:t xml:space="preserve">2,0 процента</w:t>
      </w:r>
      <w:r>
        <w:rPr>
          <w:rFonts w:ascii="Times New Roman" w:hAnsi="Times New Roman"/>
          <w:sz w:val="28"/>
          <w:szCs w:val="28"/>
        </w:rPr>
        <w:t xml:space="preserve"> от среднесписо</w:t>
      </w:r>
      <w:r>
        <w:rPr>
          <w:rFonts w:ascii="Times New Roman" w:hAnsi="Times New Roman"/>
          <w:sz w:val="28"/>
          <w:szCs w:val="28"/>
        </w:rPr>
        <w:t xml:space="preserve">чной численности работников;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работодателям, численность работников которых превышает 100 человек, устанавливается квота в размере </w:t>
      </w:r>
      <w:r>
        <w:rPr>
          <w:rFonts w:ascii="Times New Roman" w:hAnsi="Times New Roman"/>
          <w:sz w:val="28"/>
          <w:szCs w:val="28"/>
        </w:rPr>
        <w:t xml:space="preserve">3,0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от среднесписочной численности работников.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Согласно </w:t>
      </w:r>
      <w:commentRangeStart w:id="4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части 7 статьи 53 Закон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commentRangeEnd w:id="4"/>
      <w:r>
        <w:commentReference w:id="4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 занятости работодатели обязаны информировать государст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венную службу занятости о выполнении квоты для приема на работу инвалидов ежемесячно не позднее 10-го числа месяца, следующего за отчетным.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Профилактические мероприятия осуществляются в отношении работодателей, которым установлена квота для приема на работ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 инвалидов.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commentRangeStart w:id="5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Согласно Реестру</w:t>
      </w:r>
      <w:commentRangeEnd w:id="5"/>
      <w:r>
        <w:commentReference w:id="5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категорированных объектов Единого реестра видов контроля количество работодателей Удмуртской Республики, на которых распространяется законодательство о квотировании рабочих мест для приема на работу инвалидов, составляет 1835,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том числе по категориям риска: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55"/>
        <w:numPr>
          <w:ilvl w:val="0"/>
          <w:numId w:val="9"/>
        </w:numPr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высокий – 0 работодателей;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55"/>
        <w:numPr>
          <w:ilvl w:val="0"/>
          <w:numId w:val="9"/>
        </w:numPr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значительный – 11 работодателей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55"/>
        <w:numPr>
          <w:ilvl w:val="0"/>
          <w:numId w:val="9"/>
        </w:numPr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средний – 445 работодателей;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55"/>
        <w:numPr>
          <w:ilvl w:val="0"/>
          <w:numId w:val="9"/>
        </w:numPr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низкий – 1379 работодателей.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Наиболее значимыми рисками для охраняемых законом ценностей являются: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commentRangeStart w:id="6"/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невыполнение работодателем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квоты для приема на работу инвалидов, что является </w:t>
      </w:r>
      <w:commentRangeStart w:id="7"/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нарушением </w:t>
      </w:r>
      <w:commentRangeEnd w:id="7"/>
      <w:r>
        <w:commentReference w:id="7"/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статьи 38 Закона о занятости и влечет административную ответственность, предусмотренную статьей 5.42 КоАП РФ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commentRangeEnd w:id="6"/>
      <w:r>
        <w:commentReference w:id="6"/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отказ работодателя в приеме на работу инвалида в пределах установленной квоты;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непредставление или несвоевременное представлени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 информации о выполнении квоты для приема на работу инвалидов, предусмотренной законом, а также представление такой информации в неполном объеме и (или) в искаженном виде, что является нарушением части 7 статьи 53 Закона о занятости и влечет административ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ную ответственность, предусмотренную статьей 19.7 КоАП РФ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widowControl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ind w:left="0" w:firstLine="0"/>
        <w:jc w:val="center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одраздел 1.2.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Характеристик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а проблем, на решение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ind w:left="0" w:firstLine="0"/>
        <w:jc w:val="center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которых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направлена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программа профилактики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ind w:left="0" w:firstLine="0"/>
        <w:jc w:val="center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профилактических мероприятий за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года Министерством: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выдано 30 предостережений о недопустимости нарушения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организовано проведение 30 профилактических визитов;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осуществлялась актуализация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</w:t>
      </w:r>
      <w:r>
        <w:rPr>
          <w:rFonts w:ascii="Times New Roman" w:hAnsi="Times New Roman"/>
          <w:sz w:val="28"/>
          <w:szCs w:val="28"/>
        </w:rPr>
        <w:t xml:space="preserve">ов, размещенных на официальном сайте Министерства в информационно-телекоммуникационной сети «Интернет» (далее – официальный сайт Министерства в сети «Интернет»);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проводилось информирование контролируемых лиц по вопросам соблюдения обязательных требований, </w:t>
      </w:r>
      <w:r>
        <w:rPr>
          <w:rFonts w:ascii="Times New Roman" w:hAnsi="Times New Roman"/>
          <w:sz w:val="28"/>
          <w:szCs w:val="28"/>
        </w:rPr>
        <w:t xml:space="preserve">в том числе посредством: консультирования по телефону, консультирования при личном обращении контролируемых лиц;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eastAsiaTheme="minorHAnsi"/>
          <w:bCs/>
          <w:sz w:val="28"/>
          <w:szCs w:val="28"/>
        </w:rPr>
        <w:t xml:space="preserve">Анализ показателей, характеризующих состояние подконтрольной среды, свидетельствует, что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основными </w:t>
      </w:r>
      <w:r>
        <w:rPr>
          <w:rFonts w:ascii="Times New Roman" w:hAnsi="Times New Roman"/>
          <w:sz w:val="28"/>
          <w:szCs w:val="28"/>
        </w:rPr>
        <w:t xml:space="preserve">проблемами, на решение которых направлена 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ограмма профилактики</w:t>
      </w:r>
      <w:r>
        <w:rPr>
          <w:rFonts w:ascii="Times New Roman" w:hAnsi="Times New Roman"/>
          <w:sz w:val="28"/>
          <w:szCs w:val="28"/>
        </w:rPr>
        <w:t xml:space="preserve">, и которые по своей сути являются причинами нарушений обязательных требований, являются:</w:t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недостаточная правовая грамотность контролируемых лиц в вопросах выполнения законодательства о квотировании рабочих мест для приема на работу инва</w:t>
      </w:r>
      <w:r>
        <w:rPr>
          <w:rFonts w:ascii="Times New Roman" w:hAnsi="Times New Roman"/>
          <w:sz w:val="28"/>
          <w:szCs w:val="28"/>
        </w:rPr>
        <w:t xml:space="preserve">лидов, в том числе неправильное понимание и применение требований законодательства;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</w:t>
      </w:r>
      <w:r>
        <w:rPr>
          <w:rFonts w:ascii="Times New Roman" w:hAnsi="Times New Roman"/>
          <w:sz w:val="28"/>
          <w:szCs w:val="28"/>
        </w:rPr>
        <w:t xml:space="preserve">блюдение;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сознательное бездействие контролируемых лиц – невыполнение обязательных требований, в том числе формальное исполнение законодательства, например, заявление в органы службы занятости заведомо неподходящих вакансий для трудоустройства инвалидов, не</w:t>
      </w:r>
      <w:r>
        <w:rPr>
          <w:rFonts w:ascii="Times New Roman" w:hAnsi="Times New Roman"/>
          <w:sz w:val="28"/>
          <w:szCs w:val="28"/>
        </w:rPr>
        <w:t xml:space="preserve">надлежащее </w:t>
      </w:r>
      <w:commentRangeStart w:id="8"/>
      <w:r>
        <w:rPr>
          <w:rFonts w:ascii="Times New Roman" w:hAnsi="Times New Roman"/>
          <w:sz w:val="28"/>
          <w:szCs w:val="28"/>
        </w:rPr>
        <w:t xml:space="preserve">осуществление контроля за соблюдением законодательства в области квотирования рабочих мест для приема на работу инвалидов со стороны работодателей;</w:t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  <w:commentRangeEnd w:id="8"/>
      <w:r>
        <w:commentReference w:id="8"/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соотношение состоящих на учете в орган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ах слу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жбы занятости инвалидов и общего 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оличества свободных квотируемых мест для трудоустройства инвалидов, а именно по состоянию на 1 декабря 2024 года в органах службы занятости было зарегистрировано 237 инвалидов, тогда вакансий по квотируемым рабочим местам, поданных работодателями,  - 1023.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Необходимо отметить, что предусмотренная в постановлении Правительства Российской Федерации от 30 мая 2024 года № 709 «О порядке выполнения работодателями квоты для прием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а на работу инвалидов» возможность освобождения работодателей от выполнения установленной квоты осталась в 2024 году невостребованной.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Освобождение работодателей от выполнения установленной квоты является нововведением в законодательстве о квотировании рабочих мест, направлено на защиту добросовестных работодателей от необоснованного привлечения к административной ответственности.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Необходимыми условиями для освобождения работодателей от выполнения кв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оты являются: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отсутствии на учете в органах службы занятости безработных инвалидов, инвалидов, зарегистрированных в качестве ищущих работу соответствующих профессионально-квалификационным требованиям к вакансиям, заявленным работодателями;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от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сутствие в Удмуртской Республике иных организаций или индивидуальных предпринимателей, готовых заключить соглашение о трудоустройстве инвалида.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В настоящее время при нехватке инвалидов, зарегистрированных в органах службы занятости в  качестве безработных или ищущих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работу, работодатели, обязанные выполнять квоту, отказываются заключать соглашения о трудоустройстве инвалидов с общественными объединениями инвалидов и иными заинтересованными организациями, мотивируя тем, что рассчитывают на возможное непосред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ственное трудоустройство инвалида к работодателю и не желают вкладывать денежные средства в развитие иных организаций.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Данная ситуация с учетом Перечня индикаторов риска нарушения обязательных требований при осуществлении регионального государственного контроля (надзора) за приемом на работу инвалидов в пределах установленной квоты, утвержденного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постановлением Правительства Удмуртской Республики от 29 сентября 20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21 года № 527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 влечет риск привлечения работодателей к административной ответственности в соответствии со ст. 5.42 КоАП РФ. Необходимо отметить, что в ст. 5.42 КоАП РФ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Федеральным законом от 9 ноября 2024 года № 382-ФЗ «О внесении изменения в с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татью 5.42 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» были внесены изменения, в том числе в части увеличения размеров штрафов.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 Например, за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неисполнение работодателем обязанности по выполнению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квоты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 для приема на работу инвалидов, за исключением случаев освобождения работодателя от выполнения установленной квоты, штраф для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для юридических лиц составляет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от 50 000 до 100 000 рублей. 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hd w:val="clear" w:color="auto" w:fill="ffffff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Раздел 2. Цели и задачи реализации программы профилактики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jc w:val="center"/>
        <w:shd w:val="clear" w:color="auto" w:fill="ffffff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Целями реализации программы профилакт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ики являются: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выполнение кон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тролируемыми лицами установленной квоты для приема на работу инвалидов в полном объеме;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снижение административной нагрузки на работодателей;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снижение напряженности на региональном рынке труда среди граждан, имеющих инвалидность и повышение их занятости;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вышение эффективности осуществления контрольно-надзорной деятельности.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   Задачами реализации программы профилактики являются: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объектов контро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ля, проведение профилактических мероприятий с учетом данных факторов;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повышение квалификации должностных лиц, осуществляющих региональный государственный контроль (надзор) за приемом на работу инвалидов в пределах установленной квоты;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использование современных информационно-телекоммуникационных технологий при проведении профилактических мероприятий;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осуществление планирования проведения профилактических мероприятий на основе принципов их понятности, информационной открытости, полноты ох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вата ими максимального количества контролируемых лиц.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hd w:val="clear" w:color="auto" w:fill="ffffff"/>
        <w:widowControl/>
        <w:rPr>
          <w:rFonts w:eastAsia="Times New Roman" w:cs="Arial"/>
          <w:color w:val="000000"/>
          <w:sz w:val="24"/>
          <w:highlight w:val="yellow"/>
          <w:lang w:eastAsia="ru-RU"/>
        </w:rPr>
      </w:pPr>
      <w:r>
        <w:rPr>
          <w:rFonts w:eastAsia="Times New Roman" w:cs="Arial"/>
          <w:color w:val="000000"/>
          <w:sz w:val="24"/>
          <w:highlight w:val="yellow"/>
          <w:lang w:eastAsia="ru-RU"/>
        </w:rPr>
      </w:r>
      <w:r>
        <w:rPr>
          <w:rFonts w:eastAsia="Times New Roman" w:cs="Arial"/>
          <w:color w:val="000000"/>
          <w:sz w:val="24"/>
          <w:highlight w:val="yellow"/>
          <w:lang w:eastAsia="ru-RU"/>
        </w:rPr>
      </w:r>
      <w:r>
        <w:rPr>
          <w:rFonts w:eastAsia="Times New Roman" w:cs="Arial"/>
          <w:color w:val="000000"/>
          <w:sz w:val="24"/>
          <w:highlight w:val="yellow"/>
          <w:lang w:eastAsia="ru-RU"/>
        </w:rPr>
      </w:r>
    </w:p>
    <w:p>
      <w:pPr>
        <w:jc w:val="center"/>
        <w:shd w:val="clear" w:color="auto" w:fill="ffffff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Раздел 3. Профилактические мероприятия,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widowControl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сроки (периодичность) их проведения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widowControl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tbl>
      <w:tblPr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833"/>
        <w:gridCol w:w="1842"/>
        <w:gridCol w:w="1702"/>
      </w:tblGrid>
      <w:tr>
        <w:tblPrEx/>
        <w:trPr>
          <w:cantSplit/>
          <w:jc w:val="center"/>
          <w:trHeight w:val="825"/>
        </w:trPr>
        <w:tc>
          <w:tcPr>
            <w:tcBorders>
              <w:top w:val="single" w:color="000000" w:sz="4" w:space="0"/>
              <w:right w:val="non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left="-113" w:right="-108"/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non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Наименова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-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ние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 мероприятия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Содержание мероприятия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Срок проведения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Ответствен-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ное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 структурное подразделе-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ние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</w:tr>
    </w:tbl>
    <w:p>
      <w:pPr>
        <w:jc w:val="center"/>
        <w:spacing w:line="20" w:lineRule="exact"/>
        <w:shd w:val="clear" w:color="auto" w:fill="ffffff"/>
        <w:widowControl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tbl>
      <w:tblPr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833"/>
        <w:gridCol w:w="1842"/>
        <w:gridCol w:w="1702"/>
      </w:tblGrid>
      <w:tr>
        <w:tblPrEx/>
        <w:trPr>
          <w:cantSplit/>
          <w:jc w:val="center"/>
          <w:trHeight w:val="80"/>
          <w:tblHeader/>
        </w:trPr>
        <w:tc>
          <w:tcPr>
            <w:tcBorders>
              <w:bottom w:val="singl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3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  <w:t xml:space="preserve">5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>
          <w:jc w:val="center"/>
          <w:trHeight w:val="163"/>
        </w:trPr>
        <w:tc>
          <w:tcPr>
            <w:tcBorders>
              <w:top w:val="singl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Информиро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</w:p>
          <w:p>
            <w:pPr>
              <w:widowControl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вание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осуществляется путем размещения следующей информации на официальном сайте Министерства в информационно-телекоммуникационной сети «Интернет»: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тексты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нормативных правовых актов, регулирующих осуществление контроля (надзора);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руководства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 по соблюдению обязательных требований, разработанных и утвержденных в соответствии с Федеральным законом от 31 июля 2020 года № 247-ФЗ «Об обязательных требованиях в Российской Федерации»;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перечень индикаторов риска нарушения обязательных требований, пор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ядок отнесения объектов контроля к категориям риска;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перечень объектов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контроля, учитываемых в рамках формирования ежегодного плана контрольных (надзорных) мероприятий, с указанием категории риска;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программы профилактики рисков причинения вреда;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планы пров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едения плановых контрольных (надзорных) мероприятий;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перечень сведений, которые могут запрашиваться у контролируемого лица;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сведения о порядке досудебного обжалования решений Министерства действий (бездействия) его должностных лиц;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доклады, содержащие резу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льтаты обобщения правоприменительной практики;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доклады о государственном контроле (надзоре);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иные сведения, предусмотренных нормативными правовыми актами Российской Федерации, нормативными правовыми актами субъекта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поддержание информации в актуальном состо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янии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отдел контроля и надзора управления правовой работы, контроля и надзора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</w:tr>
      <w:tr>
        <w:tblPrEx/>
        <w:trPr>
          <w:jc w:val="center"/>
          <w:trHeight w:val="461"/>
        </w:trPr>
        <w:tc>
          <w:tcPr>
            <w:tcBorders>
              <w:top w:val="singl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Консультиро-вание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Проведение консультаций осуществляется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в письменной форме, по телефону, посредством видео-конференц-связи, в личном кабинете на Портале государственных услуг Российской Федерации, на личном приеме либо в ходе проведения профилактического или контрольного (надзорного) мероприятия по вопросам: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1"/>
              </w:numPr>
              <w:ind w:left="0" w:firstLine="34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соблюдение обязательных требований в части выполнения обязанности по создан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ию и (или) выделению рабочих мест в соответствии с установленной квотой;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формирование локального акта, содержащего сведения о созданных или выделенных рабочих местах для трудоустройства инвалидов в соответствии с установленной квотой;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ежемесячное представление предусмотренной законом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отчетности;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pStyle w:val="75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иные вопросы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при личном обращении, по телефону, в том числе на «горячую линию» - 15 минут с момента соединения с оператором; обращение в социальных сетях – в течение рабочего дня после поступле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ния обращения; при письменном обращении – 30 дней с момента </w:t>
            </w:r>
            <w:commentRangeStart w:id="9"/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регистрации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заявления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commentRangeEnd w:id="9"/>
            <w:r>
              <w:commentReference w:id="9"/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отдел контроля и надзора управления правовой работы, контроля и надзора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</w:tr>
      <w:tr>
        <w:tblPrEx/>
        <w:trPr>
          <w:jc w:val="center"/>
          <w:trHeight w:val="163"/>
        </w:trPr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Обобщение 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правоприме-нительной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практики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</w:t>
            </w:r>
            <w:commentRangeStart w:id="10"/>
            <w:r/>
            <w:commentRangeEnd w:id="10"/>
            <w:r>
              <w:commentReference w:id="10"/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одготовка доклада о правоприменительной практике по результатам осуществления государственного контроля (надзора)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не реже 1 раза в год, не позднее 15 марта года, следующего за отчетным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отдел контроля и надзора управления правовой работы, контроля и надзо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ра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</w:tr>
      <w:tr>
        <w:tblPrEx/>
        <w:trPr>
          <w:jc w:val="center"/>
          <w:trHeight w:val="163"/>
        </w:trPr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Объявление 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предостере-жения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Оформление и выдача контролируемым лицам, на основе анализа исполнения квот для приема инвалидов,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в части выполнения обязанности по созданию и (или) выделению рабочих мест в соответствии с установленной квотой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  <w:r>
              <w:rPr>
                <w:rFonts w:ascii="Times New Roman" w:hAnsi="Times New Roman"/>
                <w:sz w:val="24"/>
              </w:rPr>
              <w:t xml:space="preserve">необходимос-ти</w:t>
            </w:r>
            <w:r>
              <w:rPr>
                <w:rFonts w:ascii="Times New Roman" w:hAnsi="Times New Roman"/>
                <w:sz w:val="24"/>
              </w:rPr>
              <w:t xml:space="preserve">, при наличии оснований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отдел контроля и надзора управления правовой работы, контроля и надзора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</w:tr>
      <w:tr>
        <w:tblPrEx/>
        <w:trPr>
          <w:jc w:val="center"/>
          <w:trHeight w:val="163"/>
        </w:trPr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Профилакти-ческий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визит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3" w:type="dxa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График проведения профилактических визитов устанавливается программой профилактики.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Проведение профилактического визита осуществляется следующим образом: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видео-конференц-связи;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pStyle w:val="755"/>
              <w:ind w:left="33"/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 xml:space="preserve">обязательн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 xml:space="preserve">ые профилактические визиты проводятся Министерством в отношении объектов государственного контроля (надзора), отнесенных к </w:t>
            </w:r>
            <w:commentRangeStart w:id="11"/>
            <w:r>
              <w:rPr>
                <w:rFonts w:ascii="Times New Roman" w:hAnsi="Times New Roman" w:eastAsia="Times New Roman"/>
                <w:sz w:val="24"/>
                <w:lang w:eastAsia="ru-RU"/>
              </w:rPr>
              <w:t xml:space="preserve">категории высокого, значительного и среднего риска</w:t>
            </w:r>
            <w:commentRangeEnd w:id="11"/>
            <w:r>
              <w:commentReference w:id="11"/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 xml:space="preserve">;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контролируемое лицо вправе обратиться в контрольный (надзорный) орган Министерство</w:t>
            </w:r>
            <w:r>
              <w:rPr>
                <w:rFonts w:ascii="Times New Roman" w:hAnsi="Times New Roman"/>
                <w:sz w:val="24"/>
              </w:rPr>
              <w:t xml:space="preserve"> с заявлением о проведении в отношении него профилактического визита.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принятия решения о проведении профилактического визита по заявлению контролируемого лица контрольный (надзорный) орган Министерство в течение 20 рабочих дней согласовывает дату </w:t>
            </w:r>
            <w:r>
              <w:rPr>
                <w:rFonts w:ascii="Times New Roman" w:hAnsi="Times New Roman"/>
                <w:sz w:val="24"/>
              </w:rPr>
              <w:t xml:space="preserve">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</w:t>
            </w:r>
            <w:r>
              <w:rPr>
                <w:rFonts w:ascii="Times New Roman" w:hAnsi="Times New Roman"/>
                <w:sz w:val="24"/>
              </w:rPr>
              <w:t xml:space="preserve">м ценностям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в соответствии с прилагаемым графиком профилактических визитов 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br/>
              <w:t xml:space="preserve">на 2025 год либо в сроки, установленные </w:t>
            </w:r>
            <w:r>
              <w:rPr>
                <w:rFonts w:ascii="Times New Roman" w:hAnsi="Times New Roman"/>
                <w:sz w:val="24"/>
              </w:rPr>
              <w:t xml:space="preserve">Федеральным </w:t>
            </w:r>
            <w:hyperlink r:id="rId1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 w:history="1">
              <w:r>
                <w:rPr>
                  <w:rFonts w:ascii="Times New Roman" w:hAnsi="Times New Roman"/>
                  <w:sz w:val="24"/>
                </w:rPr>
                <w:t xml:space="preserve"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от 31 июля 2020 года № 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  <w:t xml:space="preserve">отдел контроля и надзора управления правовой работы, контроля и надзора</w:t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lang w:eastAsia="ru-RU"/>
              </w:rPr>
            </w:r>
          </w:p>
        </w:tc>
      </w:tr>
    </w:tbl>
    <w:p>
      <w:pPr>
        <w:jc w:val="center"/>
        <w:shd w:val="clear" w:color="auto" w:fill="ffffff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hd w:val="clear" w:color="auto" w:fill="ffffff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hd w:val="clear" w:color="auto" w:fill="ffffff"/>
        <w:widowControl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пр</w:t>
      </w:r>
      <w:r>
        <w:rPr>
          <w:rFonts w:ascii="Times New Roman" w:hAnsi="Times New Roman"/>
          <w:b/>
          <w:sz w:val="28"/>
          <w:szCs w:val="28"/>
        </w:rPr>
        <w:t xml:space="preserve">ограммы профилактики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hd w:val="clear" w:color="auto" w:fill="ffffff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Ожидаемым результатом реализации </w:t>
      </w:r>
      <w:r>
        <w:rPr>
          <w:rFonts w:ascii="Times New Roman" w:hAnsi="Times New Roman"/>
          <w:sz w:val="28"/>
          <w:szCs w:val="28"/>
        </w:rPr>
        <w:t xml:space="preserve">программы профилактики</w:t>
      </w:r>
      <w:r>
        <w:rPr>
          <w:rFonts w:ascii="Times New Roman" w:hAnsi="Times New Roman"/>
          <w:sz w:val="28"/>
          <w:szCs w:val="28"/>
        </w:rPr>
        <w:t xml:space="preserve"> является снижение количества нарушений обязательных требований при увеличении количества и качества профилактических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Показателями результативности профилактических мероприятий являются: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2"/>
        <w:ind w:firstLine="709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commentRangeStart w:id="12"/>
      <w:r>
        <w:rPr>
          <w:rFonts w:ascii="Times New Roman" w:hAnsi="Times New Roman"/>
          <w:sz w:val="28"/>
          <w:szCs w:val="28"/>
        </w:rPr>
        <w:t xml:space="preserve">увеличение количества работодателей, исполнивших обязанность по выполнению установленной квоты от общего числа работодателей, о</w:t>
      </w:r>
      <w:r>
        <w:rPr>
          <w:rFonts w:ascii="Times New Roman" w:hAnsi="Times New Roman"/>
          <w:sz w:val="28"/>
          <w:szCs w:val="28"/>
        </w:rPr>
        <w:t xml:space="preserve">бязанных выполнять установленную квоту для приема на работу инвалидов, %</w:t>
      </w:r>
      <w:commentRangeEnd w:id="12"/>
      <w:r>
        <w:commentReference w:id="12"/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firstLine="709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работодателей, оформивших в установленном порядке трудовых отношений с инвалидами </w:t>
      </w:r>
      <w:r>
        <w:rPr>
          <w:rFonts w:ascii="Times New Roman" w:hAnsi="Times New Roman"/>
          <w:bCs/>
          <w:sz w:val="28"/>
          <w:szCs w:val="28"/>
        </w:rPr>
        <w:t xml:space="preserve">в рамках исполнения обязанности по трудоустройству инвалидов в соответствии с установленн</w:t>
      </w:r>
      <w:r>
        <w:rPr>
          <w:rFonts w:ascii="Times New Roman" w:hAnsi="Times New Roman"/>
          <w:bCs/>
          <w:sz w:val="28"/>
          <w:szCs w:val="28"/>
        </w:rPr>
        <w:t xml:space="preserve">ой квотой, </w:t>
      </w:r>
      <w:r>
        <w:rPr>
          <w:rFonts w:ascii="Times New Roman" w:hAnsi="Times New Roman"/>
          <w:sz w:val="28"/>
          <w:szCs w:val="28"/>
        </w:rPr>
        <w:t xml:space="preserve">от общего числа работодателей, обязанных создавать (выделять) рабочие места для инвалидов, %;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проведенных в 2025 году профилактических </w:t>
      </w:r>
      <w:r>
        <w:rPr>
          <w:rFonts w:ascii="Times New Roman" w:hAnsi="Times New Roman"/>
          <w:sz w:val="28"/>
          <w:szCs w:val="28"/>
        </w:rPr>
        <w:br/>
        <w:t xml:space="preserve">мероприятий, ед.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показателей результативности и эффективности программы профилактики осущес</w:t>
      </w:r>
      <w:r>
        <w:rPr>
          <w:rFonts w:ascii="Times New Roman" w:hAnsi="Times New Roman"/>
          <w:sz w:val="28"/>
          <w:szCs w:val="28"/>
        </w:rPr>
        <w:t xml:space="preserve">твляется в рамках подготовки сведений (докладов) об итогах реализации программы профилактики до «1» марта 2026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center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hd w:val="clear" w:color="auto" w:fill="ffffff"/>
        <w:widowControl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5" w:h="16837" w:orient="portrait"/>
          <w:pgMar w:top="1134" w:right="565" w:bottom="1134" w:left="1701" w:header="709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Программе профилактики рисков п</w:t>
      </w:r>
      <w:r>
        <w:rPr>
          <w:rFonts w:ascii="Times New Roman" w:hAnsi="Times New Roman"/>
          <w:sz w:val="28"/>
          <w:szCs w:val="28"/>
        </w:rPr>
        <w:t xml:space="preserve">ричинения вреда (ущерба) охраняемым законом ценностям при проведении Министерством социальной политики и труда Удмуртской Республики регионального государственного контроля (надзора) за приемом на работу инвалидов в пределах установленной квоты на 2025 год</w:t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55"/>
        <w:ind w:left="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5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профилактических визитов на 202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5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4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057"/>
        <w:gridCol w:w="3260"/>
        <w:gridCol w:w="2552"/>
        <w:gridCol w:w="3118"/>
        <w:gridCol w:w="1808"/>
      </w:tblGrid>
      <w:tr>
        <w:tblPrEx/>
        <w:trPr>
          <w:jc w:val="center"/>
          <w:tblHeader/>
        </w:trPr>
        <w:tc>
          <w:tcPr>
            <w:shd w:val="clear" w:color="auto" w:fill="auto"/>
            <w:tcW w:w="624" w:type="dxa"/>
            <w:vAlign w:val="center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3057" w:type="dxa"/>
            <w:vAlign w:val="center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юридического лица (филиала, представительства, обособленного подразделения), Ф.И.О. индивидуального предпринимателя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юридического лица, индивидуального предпринимателя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Основной государственный регистрационный номер (ОГРН)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3118" w:type="dxa"/>
            <w:vAlign w:val="center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1808" w:type="dxa"/>
            <w:vAlign w:val="center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 проведения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</w:tr>
    </w:tbl>
    <w:p>
      <w:pPr>
        <w:spacing w:line="2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057"/>
        <w:gridCol w:w="3260"/>
        <w:gridCol w:w="2552"/>
        <w:gridCol w:w="3118"/>
        <w:gridCol w:w="1808"/>
      </w:tblGrid>
      <w:tr>
        <w:tblPrEx/>
        <w:trPr>
          <w:jc w:val="center"/>
          <w:tblHeader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</w:tr>
      <w:tr>
        <w:tblPrEx/>
        <w:trPr>
          <w:jc w:val="center"/>
        </w:trPr>
        <w:tc>
          <w:tcPr>
            <w:gridSpan w:val="6"/>
            <w:shd w:val="clear" w:color="auto" w:fill="auto"/>
            <w:tcW w:w="14419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квартал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ответственностью «Строительная компания «Вектор»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426035,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Софьи Ковалевской,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11А, пом. 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1231800008110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1840120383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Страховое публичное акционерное общество «Ингосстрах»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115035, г. Москва,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Пятницкая,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12, стр. 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1027739362474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7705042179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107174, г. Москва,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Новая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Басманная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2/1, стр. 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1037739877295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7708503727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Общество с ограниченной ответственностью «Научно-производственная фирма «Реал-Шторм»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426000,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Новосмирновская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1111840008224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1840001474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«ПБО Ижевск»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426011,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-д им. Дерябина, д. 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1111832001269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1832088168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«Технология Сервиса»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426063,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Промышленная,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25, этаж 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1191832013471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1841086801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города Ижевска «Служба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426033,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50 лет Пионерии,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47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1021801664708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1826002331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6"/>
            <w:shd w:val="clear" w:color="auto" w:fill="auto"/>
            <w:tcW w:w="14419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55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426019,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Автономная,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23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1021801441694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1832019781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«МК-Групп»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426034,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Удмуртская,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272, кв. 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1201800011555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1840097624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Промлитье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426068,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Автозаводская,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7, к. 4, литер 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1151832012144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1840046771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«Девятый трест-Комфорт»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426011,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Максима Горького,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79, пом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55/78А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1095920001231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5920032108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«Школьник»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426065,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Короткова, д. 17, к. 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1021801587158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1834101103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ограниченной ответственностью «Дионис»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426011,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Карла Маркса,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310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1061831040193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1831116976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«Галатея»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426069,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7-я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Подлесная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24Б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1071831006961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1831123807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«СЭБ»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115191, г. Москва,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Духовской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17, стр. 15, пом. 11Н/2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1231800004732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1841109992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«Ангара»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426028,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Пойма, д. 33, офис 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1161832056220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1832137915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Иждрил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-Холдинг»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426039,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Завьяловский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Хохряковская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шоссе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Воткинское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81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1141841001785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1841040331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«КФС Ижевск»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426008,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Советская,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12А, этаж 1, офис 1И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1121840008278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1840012959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6"/>
            <w:shd w:val="clear" w:color="auto" w:fill="auto"/>
            <w:tcW w:w="14419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«Органик»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427264,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Лесная, д. 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1131821000222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1821010995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Увинское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потребительское общество «Общепит»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427260,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К. Маркса, д. 25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1031800300960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1821902191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 детского творчества»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427260,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Калинина, д. 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1021800920140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1821004462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Малопургинское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районное потребительское общество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427820,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Малопургинский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с. Малая Пурга,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Советская, д. 79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1021800644359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1816000430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«Общепит» потребительское общество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427820,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Малопургинский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с. Малая Пурга,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Кирова, д. 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1031800002134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1816004570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ответственностью «Предприятие Луч»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427820,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Малопургинский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с. Малая Пурга,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Ленина, д. 25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1021800648583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1834010537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6"/>
            <w:shd w:val="clear" w:color="auto" w:fill="auto"/>
            <w:tcW w:w="14419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нянь»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427145,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п. Игра,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Нефтяников,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д. 2А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1141831005568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1831169791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«Центр бухгалтерского учета» Муниципального образования «Муниципальный округ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Удмуртской Республики»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427145,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п. Игра,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Советская, д. 33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1201800013909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1831199161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«Искра»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426008,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Кирова, д. 113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1021801173789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1831067430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Закрытое акционерное общество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426033,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Песочная, д. 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1021801170346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1831066404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«Бином»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426011, 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Холмогорова, д. 11А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1041800274450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1831100158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057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«Школа «Липовая роща»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426052,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Ижевск,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б-р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Вараксинский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 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 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1071832004144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1832058300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808" w:type="dxa"/>
            <w:textDirection w:val="lrTb"/>
            <w:noWrap w:val="false"/>
          </w:tcPr>
          <w:p>
            <w:pPr>
              <w:pStyle w:val="75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55"/>
        <w:ind w:left="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pStyle w:val="755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5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5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7" w:h="11905" w:orient="landscape"/>
      <w:pgMar w:top="1701" w:right="1102" w:bottom="567" w:left="1134" w:header="709" w:footer="720" w:gutter="0"/>
      <w:pgNumType w:start="1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Шаимова Ольга" w:date="2024-12-17T12:41:30Z" w:initials="ШО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аналогично, обязанности по созданию и выделению нет, а показатель есть?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перефразировать?</w:t>
      </w:r>
    </w:p>
  </w:comment>
  <w:comment w:id="11" w:author="Давыдова Ольга" w:date="2024-12-17T12:40:12Z" w:initials="ДО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прошу проверить на соответсвие ст.. 52 248-ФЗ</w:t>
      </w:r>
    </w:p>
  </w:comment>
  <w:comment w:id="10" w:author="Зарипова Альбина" w:date="2024-12-20T14:26:14Z" w:initials="ЗА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</w:t>
      </w:r>
    </w:p>
  </w:comment>
  <w:comment w:id="9" w:author="Давыдова Ольга" w:date="2024-12-20T14:26:14Z" w:initials="ДО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ГИС ТОР КНД?</w:t>
      </w:r>
    </w:p>
  </w:comment>
  <w:comment w:id="8" w:author="Давыдова Ольга" w:date="2024-12-17T11:54:34Z" w:initials="ДО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также проанализировать соотношение состоящих на учете в ЦЗН инвалидов и общее количество свободных квотируемых мест, а также новизну правового регулирвоания в части освобождения от квоты: преимущества, практические сложности</w:t>
      </w:r>
    </w:p>
  </w:comment>
  <w:comment w:id="7" w:author="Зарипова Альбина" w:date="2024-12-20T14:19:00Z" w:initials="ЗА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нарушениеМ</w:t>
      </w:r>
    </w:p>
  </w:comment>
  <w:comment w:id="6" w:author="Давыдова Ольга" w:date="2024-12-17T11:44:15Z" w:initials="ДО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разговаривали, что обязанности по созданию и выделению в новом 565-ФЗ не установлено, а риск пишем, </w:t>
      </w:r>
    </w:p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надо подумать над иной формулировкой</w:t>
      </w:r>
    </w:p>
  </w:comment>
  <w:comment w:id="5" w:author="Зарипова Альбина" w:date="2024-12-20T14:18:17Z" w:initials="ЗА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Согласно Реестру</w:t>
      </w:r>
    </w:p>
  </w:comment>
  <w:comment w:id="4" w:author="Зарипова Альбина" w:date="2024-12-20T14:17:21Z" w:initials="ЗА"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пункт, статья?</w:t>
      </w:r>
    </w:p>
  </w:comment>
  <w:comment w:id="3" w:author="Зарипова Альбина" w:date="2024-12-20T14:11:32Z" w:initials="ЗА"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согласно новому ФЗ - 565-ФЗ  - в сфере занятости населения</w:t>
      </w:r>
    </w:p>
  </w:comment>
  <w:comment w:id="2" w:author="Зарипова Альбина" w:date="2024-12-20T14:09:17Z" w:initials="ЗА"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пробел лишний</w:t>
      </w:r>
    </w:p>
  </w:comment>
  <w:comment w:id="1" w:author="Шаимова Ольга" w:date="2024-12-20T15:22:24Z" w:initials="ШО"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поправлено</w:t>
      </w:r>
    </w:p>
  </w:comment>
  <w:comment w:id="0" w:author="Зарипова Альбина" w:date="2024-12-20T14:24:49Z" w:initials="ЗА"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профилактики рисков причинения вреда (ущерба) охраняемым законом ценностям при проведении Министерством социальной политики и труда Удмуртской Республики регионального государственного контроля (надзора) за приемом на работу инвалидов в пределах установленной квоты на 2025 год (далее - программа профилактики)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1"/>
  <w15:commentEx w15:paraId="00000003" w15:done="1"/>
  <w15:commentEx w15:paraId="00000004" w15:done="1"/>
  <w15:commentEx w15:paraId="00000005" w15:done="1"/>
  <w15:commentEx w15:paraId="00000006" w15:done="1"/>
  <w15:commentEx w15:paraId="00000007" w15:done="1"/>
  <w15:commentEx w15:paraId="00000009" w15:done="1"/>
  <w15:commentEx w15:paraId="0000000A" w15:done="1"/>
  <w15:commentEx w15:paraId="0000000B" w15:done="1"/>
  <w15:commentEx w15:paraId="0000000C" w15:done="1"/>
  <w15:commentEx w15:paraId="0000000D" w15:done="1"/>
  <w15:commentEx w15:paraId="0000000E" w15:done="1"/>
  <w15:commentEx w15:paraId="0000000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D33B799" w16cex:dateUtc="2024-12-17T08:41:30Z"/>
  <w16cex:commentExtensible w16cex:durableId="33894054" w16cex:dateUtc="2024-12-17T08:41:30Z"/>
  <w16cex:commentExtensible w16cex:durableId="14453D36" w16cex:dateUtc="2024-12-17T08:40:12Z"/>
  <w16cex:commentExtensible w16cex:durableId="1354ECB7" w16cex:dateUtc="2024-12-20T10:26:14Z"/>
  <w16cex:commentExtensible w16cex:durableId="0DE0AC2D" w16cex:dateUtc="2024-12-17T07:59:26Z"/>
  <w16cex:commentExtensible w16cex:durableId="02F98525" w16cex:dateUtc="2024-12-17T07:54:34Z"/>
  <w16cex:commentExtensible w16cex:durableId="3CF811B6" w16cex:dateUtc="2024-12-20T10:19:00Z"/>
  <w16cex:commentExtensible w16cex:durableId="1992F606" w16cex:dateUtc="2024-12-17T07:44:15Z"/>
  <w16cex:commentExtensible w16cex:durableId="608F211F" w16cex:dateUtc="2024-12-20T10:18:17Z"/>
  <w16cex:commentExtensible w16cex:durableId="071B70C4" w16cex:dateUtc="2024-12-20T10:17:21Z"/>
  <w16cex:commentExtensible w16cex:durableId="5B500324" w16cex:dateUtc="2024-12-20T10:11:32Z"/>
  <w16cex:commentExtensible w16cex:durableId="29B328A9" w16cex:dateUtc="2024-12-20T10:24:49Z"/>
  <w16cex:commentExtensible w16cex:durableId="7D416CBD" w16cex:dateUtc="2024-12-20T10:09: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5D33B799"/>
  <w16cid:commentId w16cid:paraId="00000003" w16cid:durableId="33894054"/>
  <w16cid:commentId w16cid:paraId="00000004" w16cid:durableId="14453D36"/>
  <w16cid:commentId w16cid:paraId="00000005" w16cid:durableId="1354ECB7"/>
  <w16cid:commentId w16cid:paraId="00000006" w16cid:durableId="0DE0AC2D"/>
  <w16cid:commentId w16cid:paraId="00000007" w16cid:durableId="02F98525"/>
  <w16cid:commentId w16cid:paraId="00000009" w16cid:durableId="3CF811B6"/>
  <w16cid:commentId w16cid:paraId="0000000A" w16cid:durableId="1992F606"/>
  <w16cid:commentId w16cid:paraId="0000000B" w16cid:durableId="608F211F"/>
  <w16cid:commentId w16cid:paraId="0000000C" w16cid:durableId="071B70C4"/>
  <w16cid:commentId w16cid:paraId="0000000D" w16cid:durableId="5B500324"/>
  <w16cid:commentId w16cid:paraId="0000000E" w16cid:durableId="29B328A9"/>
  <w16cid:commentId w16cid:paraId="0000000F" w16cid:durableId="7D416C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6030504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2986801"/>
      <w:docPartObj>
        <w:docPartGallery w:val="Page Numbers (Top of Page)"/>
        <w:docPartUnique w:val="true"/>
      </w:docPartObj>
      <w:rPr/>
    </w:sdtPr>
    <w:sdtContent>
      <w:p>
        <w:pPr>
          <w:pStyle w:val="76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7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9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1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3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7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9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3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7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9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1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3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7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9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3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7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9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1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3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7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9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3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bullet"/>
      <w:isLgl w:val="false"/>
      <w:suff w:val="tab"/>
      <w:lvlText w:val="–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ыдова Ольга">
    <w15:presenceInfo w15:providerId="Teamlab" w15:userId="16895"/>
  </w15:person>
  <w15:person w15:author="Шаимова Ольга">
    <w15:presenceInfo w15:providerId="Teamlab" w15:userId="16995"/>
  </w15:person>
  <w15:person w15:author="Зарипова Альбина">
    <w15:presenceInfo w15:providerId="Teamlab" w15:userId="16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  <w:pPr>
      <w:widowControl w:val="off"/>
    </w:pPr>
    <w:rPr>
      <w:rFonts w:ascii="Arial" w:hAnsi="Arial" w:eastAsia="Arial Unicode MS"/>
      <w:szCs w:val="24"/>
      <w:lang w:eastAsia="en-US"/>
    </w:rPr>
  </w:style>
  <w:style w:type="paragraph" w:styleId="719">
    <w:name w:val="Heading 1"/>
    <w:basedOn w:val="718"/>
    <w:next w:val="718"/>
    <w:link w:val="746"/>
    <w:uiPriority w:val="9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20">
    <w:name w:val="Heading 2"/>
    <w:basedOn w:val="718"/>
    <w:next w:val="718"/>
    <w:link w:val="747"/>
    <w:uiPriority w:val="9"/>
    <w:unhideWhenUsed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21">
    <w:name w:val="Heading 3"/>
    <w:basedOn w:val="718"/>
    <w:next w:val="718"/>
    <w:link w:val="748"/>
    <w:uiPriority w:val="9"/>
    <w:unhideWhenUsed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22">
    <w:name w:val="Heading 4"/>
    <w:basedOn w:val="718"/>
    <w:next w:val="718"/>
    <w:link w:val="749"/>
    <w:uiPriority w:val="9"/>
    <w:unhideWhenUsed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50"/>
    <w:uiPriority w:val="9"/>
    <w:unhideWhenUsed/>
    <w:qFormat/>
    <w:pPr>
      <w:keepLines/>
      <w:keepNext/>
      <w:spacing w:before="320" w:after="200"/>
      <w:outlineLvl w:val="4"/>
    </w:pPr>
    <w:rPr>
      <w:rFonts w:eastAsia="Arial" w:cs="Arial"/>
      <w:b/>
      <w:bCs/>
      <w:sz w:val="24"/>
    </w:rPr>
  </w:style>
  <w:style w:type="paragraph" w:styleId="724">
    <w:name w:val="Heading 6"/>
    <w:basedOn w:val="718"/>
    <w:next w:val="718"/>
    <w:link w:val="751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52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53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54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basedOn w:val="728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28"/>
    <w:uiPriority w:val="10"/>
    <w:rPr>
      <w:sz w:val="48"/>
      <w:szCs w:val="48"/>
    </w:rPr>
  </w:style>
  <w:style w:type="character" w:styleId="741" w:customStyle="1">
    <w:name w:val="Subtitle Char"/>
    <w:basedOn w:val="728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Footnote Text Char"/>
    <w:uiPriority w:val="99"/>
    <w:rPr>
      <w:sz w:val="18"/>
    </w:rPr>
  </w:style>
  <w:style w:type="character" w:styleId="745" w:customStyle="1">
    <w:name w:val="Endnote Text Char"/>
    <w:uiPriority w:val="99"/>
    <w:rPr>
      <w:sz w:val="20"/>
    </w:rPr>
  </w:style>
  <w:style w:type="character" w:styleId="746" w:customStyle="1">
    <w:name w:val="Заголовок 1 Знак"/>
    <w:link w:val="719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link w:val="720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18"/>
    <w:uiPriority w:val="34"/>
    <w:qFormat/>
    <w:pPr>
      <w:contextualSpacing/>
      <w:ind w:left="720"/>
    </w:pPr>
  </w:style>
  <w:style w:type="paragraph" w:styleId="756">
    <w:name w:val="No Spacing"/>
    <w:uiPriority w:val="1"/>
    <w:qFormat/>
  </w:style>
  <w:style w:type="paragraph" w:styleId="757">
    <w:name w:val="Title"/>
    <w:basedOn w:val="718"/>
    <w:next w:val="718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link w:val="757"/>
    <w:uiPriority w:val="10"/>
    <w:rPr>
      <w:sz w:val="48"/>
      <w:szCs w:val="48"/>
    </w:rPr>
  </w:style>
  <w:style w:type="paragraph" w:styleId="759">
    <w:name w:val="Subtitle"/>
    <w:basedOn w:val="718"/>
    <w:next w:val="718"/>
    <w:link w:val="760"/>
    <w:qFormat/>
    <w:pPr>
      <w:jc w:val="center"/>
    </w:pPr>
    <w:rPr>
      <w:i/>
      <w:iCs/>
      <w:sz w:val="28"/>
      <w:szCs w:val="28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18"/>
    <w:next w:val="718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18"/>
    <w:next w:val="718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18"/>
    <w:link w:val="927"/>
    <w:uiPriority w:val="99"/>
    <w:pPr>
      <w:tabs>
        <w:tab w:val="center" w:pos="5102" w:leader="none"/>
        <w:tab w:val="right" w:pos="10205" w:leader="none"/>
      </w:tabs>
      <w:suppressLineNumbers/>
    </w:pPr>
  </w:style>
  <w:style w:type="character" w:styleId="766" w:customStyle="1">
    <w:name w:val="Header Char"/>
    <w:uiPriority w:val="99"/>
  </w:style>
  <w:style w:type="paragraph" w:styleId="767">
    <w:name w:val="Footer"/>
    <w:basedOn w:val="718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8" w:customStyle="1">
    <w:name w:val="Footer Char"/>
    <w:uiPriority w:val="99"/>
  </w:style>
  <w:style w:type="paragraph" w:styleId="769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 w:customStyle="1">
    <w:name w:val="Caption Char"/>
    <w:uiPriority w:val="99"/>
  </w:style>
  <w:style w:type="table" w:styleId="77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718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718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18"/>
    <w:next w:val="718"/>
    <w:uiPriority w:val="39"/>
    <w:unhideWhenUsed/>
    <w:pPr>
      <w:spacing w:after="57"/>
    </w:pPr>
  </w:style>
  <w:style w:type="paragraph" w:styleId="905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906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907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08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09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10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11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12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18"/>
    <w:next w:val="718"/>
    <w:uiPriority w:val="99"/>
    <w:unhideWhenUsed/>
  </w:style>
  <w:style w:type="character" w:styleId="915" w:customStyle="1">
    <w:name w:val="Символ нумерации"/>
  </w:style>
  <w:style w:type="paragraph" w:styleId="916">
    <w:name w:val="Body Text"/>
    <w:basedOn w:val="718"/>
    <w:pPr>
      <w:spacing w:after="120"/>
    </w:pPr>
  </w:style>
  <w:style w:type="paragraph" w:styleId="917" w:customStyle="1">
    <w:name w:val="Название1"/>
    <w:next w:val="759"/>
    <w:qFormat/>
  </w:style>
  <w:style w:type="paragraph" w:styleId="918">
    <w:name w:val="List"/>
    <w:basedOn w:val="916"/>
    <w:rPr>
      <w:rFonts w:cs="Tahoma"/>
    </w:rPr>
  </w:style>
  <w:style w:type="paragraph" w:styleId="919" w:customStyle="1">
    <w:name w:val="Содержимое таблицы"/>
    <w:basedOn w:val="718"/>
    <w:pPr>
      <w:suppressLineNumbers/>
    </w:pPr>
  </w:style>
  <w:style w:type="paragraph" w:styleId="920" w:customStyle="1">
    <w:name w:val="Название1"/>
    <w:basedOn w:val="718"/>
    <w:pPr>
      <w:spacing w:before="120" w:after="120"/>
      <w:suppressLineNumbers/>
    </w:pPr>
    <w:rPr>
      <w:rFonts w:cs="Tahoma"/>
      <w:i/>
      <w:iCs/>
    </w:rPr>
  </w:style>
  <w:style w:type="paragraph" w:styleId="921" w:customStyle="1">
    <w:name w:val="Указатель1"/>
    <w:basedOn w:val="718"/>
    <w:pPr>
      <w:suppressLineNumbers/>
    </w:pPr>
    <w:rPr>
      <w:rFonts w:cs="Tahoma"/>
    </w:rPr>
  </w:style>
  <w:style w:type="character" w:styleId="922" w:customStyle="1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styleId="923" w:customStyle="1">
    <w:name w:val="Style2"/>
    <w:basedOn w:val="718"/>
    <w:pPr>
      <w:jc w:val="center"/>
      <w:spacing w:line="252" w:lineRule="exact"/>
    </w:pPr>
    <w:rPr>
      <w:rFonts w:ascii="Times New Roman" w:hAnsi="Times New Roman" w:eastAsia="Times New Roman"/>
      <w:sz w:val="24"/>
      <w:lang w:eastAsia="ar-SA"/>
    </w:rPr>
  </w:style>
  <w:style w:type="paragraph" w:styleId="924" w:customStyle="1">
    <w:name w:val="Style47"/>
    <w:basedOn w:val="718"/>
    <w:pPr>
      <w:jc w:val="center"/>
    </w:pPr>
    <w:rPr>
      <w:rFonts w:ascii="Times New Roman" w:hAnsi="Times New Roman" w:eastAsia="Times New Roman"/>
      <w:sz w:val="24"/>
      <w:lang w:eastAsia="ar-SA"/>
    </w:rPr>
  </w:style>
  <w:style w:type="paragraph" w:styleId="925">
    <w:name w:val="Normal (Web)"/>
    <w:basedOn w:val="718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character" w:styleId="926" w:customStyle="1">
    <w:name w:val="Нижний колонтитул Знак"/>
    <w:link w:val="767"/>
    <w:uiPriority w:val="99"/>
    <w:rPr>
      <w:rFonts w:ascii="Arial" w:hAnsi="Arial" w:eastAsia="Arial Unicode MS"/>
      <w:szCs w:val="24"/>
      <w:lang w:eastAsia="en-US"/>
    </w:rPr>
  </w:style>
  <w:style w:type="character" w:styleId="927" w:customStyle="1">
    <w:name w:val="Верхний колонтитул Знак"/>
    <w:link w:val="765"/>
    <w:uiPriority w:val="99"/>
    <w:rPr>
      <w:rFonts w:ascii="Arial" w:hAnsi="Arial" w:eastAsia="Arial Unicode MS"/>
      <w:szCs w:val="24"/>
      <w:lang w:eastAsia="en-US"/>
    </w:rPr>
  </w:style>
  <w:style w:type="paragraph" w:styleId="928">
    <w:name w:val="Balloon Text"/>
    <w:basedOn w:val="718"/>
    <w:link w:val="929"/>
    <w:uiPriority w:val="99"/>
    <w:semiHidden/>
    <w:unhideWhenUsed/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link w:val="928"/>
    <w:uiPriority w:val="99"/>
    <w:semiHidden/>
    <w:rPr>
      <w:rFonts w:ascii="Tahoma" w:hAnsi="Tahoma" w:eastAsia="Arial Unicode MS" w:cs="Tahoma"/>
      <w:sz w:val="16"/>
      <w:szCs w:val="16"/>
      <w:lang w:eastAsia="en-US"/>
    </w:rPr>
  </w:style>
  <w:style w:type="character" w:styleId="930">
    <w:name w:val="page number"/>
  </w:style>
  <w:style w:type="character" w:styleId="931">
    <w:name w:val="annotation reference"/>
    <w:basedOn w:val="728"/>
    <w:uiPriority w:val="99"/>
    <w:semiHidden/>
    <w:unhideWhenUsed/>
    <w:rPr>
      <w:sz w:val="16"/>
      <w:szCs w:val="16"/>
    </w:rPr>
  </w:style>
  <w:style w:type="paragraph" w:styleId="932">
    <w:name w:val="annotation text"/>
    <w:basedOn w:val="718"/>
    <w:link w:val="933"/>
    <w:uiPriority w:val="99"/>
    <w:semiHidden/>
    <w:unhideWhenUsed/>
    <w:rPr>
      <w:szCs w:val="20"/>
    </w:rPr>
  </w:style>
  <w:style w:type="character" w:styleId="933" w:customStyle="1">
    <w:name w:val="Текст примечания Знак"/>
    <w:basedOn w:val="728"/>
    <w:link w:val="932"/>
    <w:uiPriority w:val="99"/>
    <w:semiHidden/>
    <w:rPr>
      <w:rFonts w:ascii="Arial" w:hAnsi="Arial" w:eastAsia="Arial Unicode MS"/>
      <w:lang w:eastAsia="en-US"/>
    </w:rPr>
  </w:style>
  <w:style w:type="paragraph" w:styleId="934">
    <w:name w:val="annotation subject"/>
    <w:basedOn w:val="932"/>
    <w:next w:val="932"/>
    <w:link w:val="935"/>
    <w:uiPriority w:val="99"/>
    <w:semiHidden/>
    <w:unhideWhenUsed/>
    <w:rPr>
      <w:b/>
      <w:bCs/>
    </w:rPr>
  </w:style>
  <w:style w:type="character" w:styleId="935" w:customStyle="1">
    <w:name w:val="Тема примечания Знак"/>
    <w:basedOn w:val="933"/>
    <w:link w:val="934"/>
    <w:uiPriority w:val="99"/>
    <w:semiHidden/>
    <w:rPr>
      <w:rFonts w:ascii="Arial" w:hAnsi="Arial" w:eastAsia="Arial Unicode MS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6AA00723D9D9EFC9951CC67DF1FFBA483D74FC8362DC9E747AE42EEA1857D5ED976FF946DF6F446A99B5D045C1lCk8O" TargetMode="External"/><Relationship Id="rId13" Type="http://schemas.openxmlformats.org/officeDocument/2006/relationships/hyperlink" Target="consultantplus://offline/ref=8E5070DFB4C5A0D9656C79242D49CC18115026A6A6638C1F27AC79323F67311A217D008071806092AE22D4D8A2849D24AABC623C8C90B5ECL3n4M" TargetMode="External"/><Relationship Id="rId14" Type="http://schemas.openxmlformats.org/officeDocument/2006/relationships/comments" Target="comments.xml" /><Relationship Id="rId15" Type="http://schemas.microsoft.com/office/2011/relationships/commentsExtended" Target="commentsExtended.xml" /><Relationship Id="rId16" Type="http://schemas.microsoft.com/office/2018/08/relationships/commentsExtensible" Target="commentsExtensible.xml" /><Relationship Id="rId17" Type="http://schemas.microsoft.com/office/2016/09/relationships/commentsIds" Target="commentsIds.xml" /><Relationship Id="rId18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9C78-FBAA-438B-B482-03CDDA2C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ГУТЗН Курганской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shaimova_olm</cp:lastModifiedBy>
  <cp:revision>31</cp:revision>
  <dcterms:created xsi:type="dcterms:W3CDTF">2023-12-08T06:54:00Z</dcterms:created>
  <dcterms:modified xsi:type="dcterms:W3CDTF">2024-12-24T06:03:30Z</dcterms:modified>
  <cp:version>1048576</cp:version>
</cp:coreProperties>
</file>